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3D383" w14:textId="690CEB36" w:rsidR="00344FE6" w:rsidRDefault="00C64990" w:rsidP="00C64990">
      <w:pPr>
        <w:pStyle w:val="Pagedecouverture"/>
      </w:pPr>
      <w:r>
        <w:pict w14:anchorId="38DCA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4680B5C5-7A3A-4BC7-B62F-BF03FB463D67" style="width:450.5pt;height:577pt">
            <v:imagedata r:id="rId8" o:title=""/>
          </v:shape>
        </w:pict>
      </w:r>
    </w:p>
    <w:p w14:paraId="779AFDFB" w14:textId="1DE32572" w:rsidR="00B76127" w:rsidRDefault="00B76127" w:rsidP="00B76127">
      <w:pPr>
        <w:sectPr w:rsidR="00B76127" w:rsidSect="00C64990">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64A3F880" w14:textId="77777777" w:rsidR="00344FE6" w:rsidRPr="00FB18DC" w:rsidRDefault="00344FE6" w:rsidP="00BA3710">
      <w:pPr>
        <w:pStyle w:val="Exposdesmotifstitre"/>
      </w:pPr>
      <w:bookmarkStart w:id="0" w:name="_GoBack"/>
      <w:bookmarkEnd w:id="0"/>
      <w:r w:rsidRPr="00FB18DC">
        <w:lastRenderedPageBreak/>
        <w:t>EXPLANATORY MEMORANDUM</w:t>
      </w:r>
    </w:p>
    <w:p w14:paraId="01813074" w14:textId="77777777" w:rsidR="00344FE6" w:rsidRDefault="00344FE6" w:rsidP="00BA3710">
      <w:pPr>
        <w:pStyle w:val="ManualHeading1"/>
      </w:pPr>
      <w:r w:rsidRPr="00FB18DC">
        <w:t>1.</w:t>
      </w:r>
      <w:r w:rsidRPr="00FB18DC">
        <w:tab/>
      </w:r>
      <w:r>
        <w:t>CONTEXT OF THE DELEGATED ACT</w:t>
      </w:r>
    </w:p>
    <w:p w14:paraId="18EE8C47" w14:textId="3780AEB3" w:rsidR="0002786F" w:rsidRPr="00EF6925" w:rsidRDefault="009D3E21" w:rsidP="000159A8">
      <w:pPr>
        <w:pStyle w:val="Text1"/>
      </w:pPr>
      <w:r w:rsidRPr="00EF6925">
        <w:t xml:space="preserve">Annex III </w:t>
      </w:r>
      <w:r w:rsidR="00EC39CC" w:rsidRPr="00EF6925">
        <w:t xml:space="preserve">to </w:t>
      </w:r>
      <w:r w:rsidRPr="00EF6925">
        <w:t>Regulation (EC) No 853/2004 of the European Parliament and of the Council</w:t>
      </w:r>
      <w:r w:rsidRPr="00FE4DFB">
        <w:rPr>
          <w:rStyle w:val="FootnoteReference"/>
        </w:rPr>
        <w:footnoteReference w:id="1"/>
      </w:r>
      <w:r w:rsidRPr="00EF6925">
        <w:t xml:space="preserve"> lays down specific hygiene rules for different food of animal origin. </w:t>
      </w:r>
      <w:r w:rsidR="00AD056F" w:rsidRPr="00EF6925">
        <w:t xml:space="preserve">In order to maintain a high level of food safety </w:t>
      </w:r>
      <w:r w:rsidR="00724A16" w:rsidRPr="00EF6925">
        <w:t xml:space="preserve">for </w:t>
      </w:r>
      <w:r w:rsidR="00AD056F" w:rsidRPr="00EF6925">
        <w:t xml:space="preserve">consumers, these rules need to </w:t>
      </w:r>
      <w:r w:rsidR="00724A16" w:rsidRPr="00EF6925">
        <w:t xml:space="preserve">be </w:t>
      </w:r>
      <w:r w:rsidR="00AD056F" w:rsidRPr="00EF6925">
        <w:t xml:space="preserve">kept up to date taking into account the experience gained from the implementation, technological developments and their practical consequences and changes in patterns of consumption. </w:t>
      </w:r>
    </w:p>
    <w:p w14:paraId="1001F4BA" w14:textId="12884C13" w:rsidR="0002786F" w:rsidRPr="00EF6925" w:rsidRDefault="00AD056F" w:rsidP="000159A8">
      <w:pPr>
        <w:pStyle w:val="Text1"/>
      </w:pPr>
      <w:r w:rsidRPr="00EF6925">
        <w:t>The following amendments are therefore proposed by this Delegated Regulation:</w:t>
      </w:r>
    </w:p>
    <w:p w14:paraId="29079C6C" w14:textId="6CE9B6D2" w:rsidR="00AD056F" w:rsidRPr="00AD056F" w:rsidRDefault="00AD056F" w:rsidP="00AA3071">
      <w:pPr>
        <w:pStyle w:val="Tiret1"/>
        <w:numPr>
          <w:ilvl w:val="0"/>
          <w:numId w:val="10"/>
        </w:numPr>
      </w:pPr>
      <w:r w:rsidRPr="00AD056F">
        <w:t>introduction of more flexibility for slaughter of bovine and equine animals at the holding of provenance for animal welfare reasons and to avoid risks for the handler (e.g. in case of free range animals), under strict conditions of hygiene and official controls.</w:t>
      </w:r>
      <w:r w:rsidR="0076310F">
        <w:t xml:space="preserve"> This action </w:t>
      </w:r>
      <w:r w:rsidR="00EC39CC" w:rsidRPr="00EC39CC">
        <w:t>will support continued improvement of animal wel</w:t>
      </w:r>
      <w:r w:rsidR="00EC39CC">
        <w:t>fare standards as called for by</w:t>
      </w:r>
      <w:r w:rsidR="00EC39CC" w:rsidRPr="00EC39CC">
        <w:t xml:space="preserve"> the </w:t>
      </w:r>
      <w:r w:rsidR="00EC39CC">
        <w:t>European</w:t>
      </w:r>
      <w:r w:rsidR="00EC39CC" w:rsidRPr="00EC39CC">
        <w:t xml:space="preserve"> Green Deal and ‘Farm to Fork’ Strategy</w:t>
      </w:r>
      <w:r w:rsidR="00724A16">
        <w:t>;</w:t>
      </w:r>
    </w:p>
    <w:p w14:paraId="2408B2FA" w14:textId="68E78048" w:rsidR="00AD056F" w:rsidRPr="00AD056F" w:rsidRDefault="00AD056F" w:rsidP="000159A8">
      <w:pPr>
        <w:pStyle w:val="Tiret1"/>
        <w:rPr>
          <w:rFonts w:eastAsia="Times New Roman"/>
          <w:szCs w:val="20"/>
        </w:rPr>
      </w:pPr>
      <w:r w:rsidRPr="00AD056F">
        <w:rPr>
          <w:rFonts w:eastAsia="Times New Roman"/>
          <w:szCs w:val="20"/>
        </w:rPr>
        <w:t>sorting out practical difficulties/inconsistencies in the handling of stomachs for rennet production, the handling of heads and feet, including temperature conditions for storage</w:t>
      </w:r>
      <w:r w:rsidR="00724A16">
        <w:rPr>
          <w:rFonts w:eastAsia="Times New Roman"/>
          <w:szCs w:val="20"/>
        </w:rPr>
        <w:t>;</w:t>
      </w:r>
    </w:p>
    <w:p w14:paraId="7CC6EF31" w14:textId="3CFF56A5" w:rsidR="00AD056F" w:rsidRPr="00AD056F" w:rsidRDefault="00AD056F" w:rsidP="000159A8">
      <w:pPr>
        <w:pStyle w:val="Tiret1"/>
        <w:rPr>
          <w:rFonts w:eastAsia="Times New Roman"/>
          <w:szCs w:val="20"/>
        </w:rPr>
      </w:pPr>
      <w:r w:rsidRPr="00AD056F">
        <w:rPr>
          <w:rFonts w:eastAsia="Times New Roman"/>
          <w:szCs w:val="20"/>
        </w:rPr>
        <w:t>aligning the role of the official veterinarian in case of emergency slaughter with the new requirements in Delegated Regulation (EU) 2019/624</w:t>
      </w:r>
      <w:r w:rsidR="000659EC">
        <w:rPr>
          <w:rFonts w:eastAsia="Times New Roman"/>
          <w:szCs w:val="20"/>
        </w:rPr>
        <w:t>;</w:t>
      </w:r>
      <w:r w:rsidR="000659EC" w:rsidRPr="00AD056F">
        <w:rPr>
          <w:rFonts w:eastAsia="Times New Roman"/>
          <w:szCs w:val="20"/>
        </w:rPr>
        <w:t xml:space="preserve"> </w:t>
      </w:r>
    </w:p>
    <w:p w14:paraId="24A70099" w14:textId="1B68252B" w:rsidR="00EC39CC" w:rsidRPr="009502A8" w:rsidRDefault="00EC39CC" w:rsidP="000159A8">
      <w:pPr>
        <w:pStyle w:val="Tiret1"/>
        <w:rPr>
          <w:rFonts w:eastAsia="Times New Roman"/>
          <w:szCs w:val="20"/>
        </w:rPr>
      </w:pPr>
      <w:r>
        <w:rPr>
          <w:rFonts w:eastAsia="Times New Roman"/>
          <w:szCs w:val="20"/>
        </w:rPr>
        <w:t>a</w:t>
      </w:r>
      <w:r w:rsidRPr="009502A8">
        <w:rPr>
          <w:rFonts w:eastAsia="Times New Roman"/>
          <w:szCs w:val="20"/>
        </w:rPr>
        <w:t xml:space="preserve">llowing freezing </w:t>
      </w:r>
      <w:r>
        <w:rPr>
          <w:rFonts w:eastAsia="Times New Roman"/>
          <w:szCs w:val="20"/>
        </w:rPr>
        <w:t xml:space="preserve">of meat </w:t>
      </w:r>
      <w:r w:rsidRPr="009502A8">
        <w:rPr>
          <w:rFonts w:eastAsia="Times New Roman"/>
          <w:szCs w:val="20"/>
        </w:rPr>
        <w:t xml:space="preserve">at retail </w:t>
      </w:r>
      <w:r>
        <w:rPr>
          <w:rFonts w:eastAsia="Times New Roman"/>
          <w:szCs w:val="20"/>
        </w:rPr>
        <w:t xml:space="preserve">level </w:t>
      </w:r>
      <w:r w:rsidRPr="009502A8">
        <w:rPr>
          <w:rFonts w:eastAsia="Times New Roman"/>
          <w:szCs w:val="20"/>
        </w:rPr>
        <w:t xml:space="preserve">for the purpose of facilitating food donation, </w:t>
      </w:r>
      <w:r>
        <w:rPr>
          <w:rFonts w:eastAsia="Times New Roman"/>
          <w:szCs w:val="20"/>
        </w:rPr>
        <w:t xml:space="preserve">thereby preventing food waste and promoting food security , in line with the objectives laid down in the Commission’s </w:t>
      </w:r>
      <w:r w:rsidRPr="009502A8">
        <w:rPr>
          <w:rFonts w:eastAsia="Times New Roman"/>
          <w:szCs w:val="20"/>
        </w:rPr>
        <w:t>Farm to Fork strategy;</w:t>
      </w:r>
    </w:p>
    <w:p w14:paraId="1268315B" w14:textId="4E5F0ECF" w:rsidR="002713EA" w:rsidRPr="002713EA" w:rsidRDefault="002713EA" w:rsidP="000159A8">
      <w:pPr>
        <w:pStyle w:val="Tiret1"/>
        <w:rPr>
          <w:rFonts w:eastAsia="Times New Roman"/>
          <w:szCs w:val="20"/>
        </w:rPr>
      </w:pPr>
      <w:r w:rsidRPr="002713EA">
        <w:rPr>
          <w:rFonts w:eastAsia="Times New Roman"/>
          <w:szCs w:val="20"/>
        </w:rPr>
        <w:t>deleting the wording “approved veterinarian” in the section o</w:t>
      </w:r>
      <w:r w:rsidR="00724A16">
        <w:rPr>
          <w:rFonts w:eastAsia="Times New Roman"/>
          <w:szCs w:val="20"/>
        </w:rPr>
        <w:t>n</w:t>
      </w:r>
      <w:r w:rsidRPr="002713EA">
        <w:rPr>
          <w:rFonts w:eastAsia="Times New Roman"/>
          <w:szCs w:val="20"/>
        </w:rPr>
        <w:t xml:space="preserve"> farmed game since the definition of such veterinarian was merged with the definition of  official veterinarian by Regulation (EU) 2017/625;</w:t>
      </w:r>
    </w:p>
    <w:p w14:paraId="76D32ADA" w14:textId="27AE142C" w:rsidR="00AD056F" w:rsidRPr="00AD056F" w:rsidRDefault="00AD056F" w:rsidP="000159A8">
      <w:pPr>
        <w:pStyle w:val="Tiret1"/>
        <w:rPr>
          <w:rFonts w:eastAsia="Times New Roman"/>
          <w:szCs w:val="20"/>
        </w:rPr>
      </w:pPr>
      <w:r w:rsidRPr="00AD056F">
        <w:rPr>
          <w:rFonts w:eastAsia="Times New Roman"/>
          <w:szCs w:val="20"/>
        </w:rPr>
        <w:t>introduction of specific hygiene conditions in collection centres for wild game</w:t>
      </w:r>
      <w:r w:rsidR="003261B3">
        <w:rPr>
          <w:rFonts w:eastAsia="Times New Roman"/>
          <w:szCs w:val="20"/>
        </w:rPr>
        <w:t>;</w:t>
      </w:r>
    </w:p>
    <w:p w14:paraId="1E1FD75F" w14:textId="6C37D40A" w:rsidR="00AD056F" w:rsidRPr="00AD056F" w:rsidRDefault="00AD056F" w:rsidP="000159A8">
      <w:pPr>
        <w:pStyle w:val="Tiret1"/>
        <w:rPr>
          <w:rFonts w:eastAsia="Times New Roman"/>
          <w:szCs w:val="20"/>
        </w:rPr>
      </w:pPr>
      <w:r w:rsidRPr="00AD056F">
        <w:rPr>
          <w:rFonts w:eastAsia="Times New Roman"/>
          <w:szCs w:val="20"/>
        </w:rPr>
        <w:t>extension of hygiene requirements for farmed game, snails and frogs’ legs to new species/families placed on the market for human consumption</w:t>
      </w:r>
      <w:r w:rsidR="003261B3">
        <w:rPr>
          <w:rFonts w:eastAsia="Times New Roman"/>
          <w:szCs w:val="20"/>
        </w:rPr>
        <w:t>;</w:t>
      </w:r>
    </w:p>
    <w:p w14:paraId="469619D3" w14:textId="6D4C0C76" w:rsidR="00AD056F" w:rsidRPr="00AD056F" w:rsidRDefault="00AD056F" w:rsidP="000159A8">
      <w:pPr>
        <w:pStyle w:val="Tiret1"/>
        <w:rPr>
          <w:rFonts w:eastAsia="Times New Roman"/>
          <w:szCs w:val="20"/>
        </w:rPr>
      </w:pPr>
      <w:r w:rsidRPr="00AD056F">
        <w:rPr>
          <w:rFonts w:eastAsia="Times New Roman"/>
          <w:szCs w:val="20"/>
        </w:rPr>
        <w:t>adaptation of storage conditions for grease and animal fat to new technologies such as vacuum packaging</w:t>
      </w:r>
      <w:r w:rsidR="003261B3">
        <w:rPr>
          <w:rFonts w:eastAsia="Times New Roman"/>
          <w:szCs w:val="20"/>
        </w:rPr>
        <w:t>;</w:t>
      </w:r>
    </w:p>
    <w:p w14:paraId="75F8DCDE" w14:textId="6A39C075" w:rsidR="00AD056F" w:rsidRPr="00AD056F" w:rsidRDefault="00AD056F" w:rsidP="000159A8">
      <w:pPr>
        <w:pStyle w:val="Tiret1"/>
        <w:rPr>
          <w:rFonts w:eastAsia="Times New Roman"/>
          <w:szCs w:val="20"/>
        </w:rPr>
      </w:pPr>
      <w:r w:rsidRPr="00AD056F">
        <w:rPr>
          <w:rFonts w:eastAsia="Times New Roman"/>
          <w:szCs w:val="20"/>
        </w:rPr>
        <w:t xml:space="preserve">deletion of pectenotoxins from the list of marine biotoxins to be analysed in live bivalve </w:t>
      </w:r>
      <w:r w:rsidRPr="009502A8">
        <w:rPr>
          <w:rFonts w:eastAsia="Times New Roman"/>
          <w:szCs w:val="20"/>
        </w:rPr>
        <w:t xml:space="preserve">molluscs </w:t>
      </w:r>
      <w:r w:rsidR="00B06431">
        <w:rPr>
          <w:rFonts w:eastAsia="Times New Roman"/>
          <w:szCs w:val="20"/>
        </w:rPr>
        <w:t>based on an EFSA opinion</w:t>
      </w:r>
      <w:r w:rsidR="003261B3">
        <w:rPr>
          <w:rFonts w:eastAsia="Times New Roman"/>
          <w:szCs w:val="20"/>
        </w:rPr>
        <w:t>;</w:t>
      </w:r>
      <w:r w:rsidR="003261B3" w:rsidRPr="00670CD9">
        <w:rPr>
          <w:rFonts w:eastAsia="Times New Roman"/>
          <w:szCs w:val="20"/>
        </w:rPr>
        <w:t xml:space="preserve"> </w:t>
      </w:r>
    </w:p>
    <w:p w14:paraId="673E22B0" w14:textId="44C6D91C" w:rsidR="00AD056F" w:rsidRPr="00AD056F" w:rsidRDefault="00AD056F" w:rsidP="000159A8">
      <w:pPr>
        <w:pStyle w:val="Tiret1"/>
        <w:rPr>
          <w:rFonts w:eastAsia="Times New Roman"/>
          <w:szCs w:val="20"/>
        </w:rPr>
      </w:pPr>
      <w:r w:rsidRPr="00AD056F">
        <w:rPr>
          <w:rFonts w:eastAsia="Times New Roman"/>
          <w:szCs w:val="20"/>
        </w:rPr>
        <w:t>establishing a specific model of the registration document that must accompany movements of live bivalve molluscs after harvesting and until their placing on the market</w:t>
      </w:r>
      <w:r w:rsidR="003261B3">
        <w:rPr>
          <w:rFonts w:eastAsia="Times New Roman"/>
          <w:szCs w:val="20"/>
        </w:rPr>
        <w:t>;</w:t>
      </w:r>
    </w:p>
    <w:p w14:paraId="04A8F1DE" w14:textId="2F1F4D75" w:rsidR="0076310F" w:rsidRDefault="00AD056F" w:rsidP="000159A8">
      <w:pPr>
        <w:pStyle w:val="Tiret1"/>
        <w:rPr>
          <w:rFonts w:eastAsia="Times New Roman"/>
          <w:szCs w:val="20"/>
        </w:rPr>
      </w:pPr>
      <w:r w:rsidRPr="00AD056F">
        <w:rPr>
          <w:rFonts w:eastAsia="Times New Roman"/>
          <w:szCs w:val="20"/>
        </w:rPr>
        <w:t>aligning the rules for echinoderms fixed in</w:t>
      </w:r>
      <w:r w:rsidR="00837929">
        <w:rPr>
          <w:rFonts w:eastAsia="Times New Roman"/>
          <w:szCs w:val="20"/>
        </w:rPr>
        <w:t xml:space="preserve"> Delegated Regulation </w:t>
      </w:r>
      <w:r w:rsidR="002713EA">
        <w:rPr>
          <w:rFonts w:eastAsia="Times New Roman"/>
          <w:szCs w:val="20"/>
        </w:rPr>
        <w:t xml:space="preserve">(EU) </w:t>
      </w:r>
      <w:r w:rsidR="00837929">
        <w:rPr>
          <w:rFonts w:eastAsia="Times New Roman"/>
          <w:szCs w:val="20"/>
        </w:rPr>
        <w:t>2019/624</w:t>
      </w:r>
      <w:r w:rsidRPr="00AD056F">
        <w:rPr>
          <w:rFonts w:eastAsia="Times New Roman"/>
          <w:szCs w:val="20"/>
        </w:rPr>
        <w:t xml:space="preserve"> to the limitations in derogation established by the Parliament and the Council in Regulation </w:t>
      </w:r>
      <w:r w:rsidR="002713EA">
        <w:rPr>
          <w:rFonts w:eastAsia="Times New Roman"/>
          <w:szCs w:val="20"/>
        </w:rPr>
        <w:t xml:space="preserve">(EU) </w:t>
      </w:r>
      <w:r w:rsidRPr="00AD056F">
        <w:rPr>
          <w:rFonts w:eastAsia="Times New Roman"/>
          <w:szCs w:val="20"/>
        </w:rPr>
        <w:t>2017/625</w:t>
      </w:r>
      <w:r w:rsidR="003261B3">
        <w:rPr>
          <w:rFonts w:eastAsia="Times New Roman"/>
          <w:szCs w:val="20"/>
        </w:rPr>
        <w:t>;</w:t>
      </w:r>
    </w:p>
    <w:p w14:paraId="4D26DDAA" w14:textId="06D1287F" w:rsidR="00AD056F" w:rsidRPr="00FE4DFB" w:rsidRDefault="00AD056F" w:rsidP="000159A8">
      <w:pPr>
        <w:pStyle w:val="Tiret1"/>
        <w:rPr>
          <w:rFonts w:eastAsia="Times New Roman"/>
          <w:szCs w:val="20"/>
        </w:rPr>
      </w:pPr>
      <w:r w:rsidRPr="0076310F">
        <w:rPr>
          <w:rFonts w:eastAsia="Times New Roman"/>
          <w:szCs w:val="20"/>
        </w:rPr>
        <w:t xml:space="preserve">fixing specific temperature requirements for fishery products handled on board of fishing vessels, specific hygiene requirements for reefer vessels as regards transport temperature and cold store maintenance, obligation on board vessels that containers used for fishery products </w:t>
      </w:r>
      <w:r w:rsidRPr="00FE4DFB">
        <w:rPr>
          <w:rFonts w:eastAsia="Times New Roman"/>
          <w:szCs w:val="20"/>
        </w:rPr>
        <w:t>are not used for other purposes.</w:t>
      </w:r>
    </w:p>
    <w:p w14:paraId="4A231AAD" w14:textId="77777777" w:rsidR="00344FE6" w:rsidRDefault="00344FE6" w:rsidP="00BA3710">
      <w:pPr>
        <w:pStyle w:val="ManualHeading1"/>
      </w:pPr>
      <w:r w:rsidRPr="00FB18DC">
        <w:t>2.</w:t>
      </w:r>
      <w:r w:rsidRPr="00FB18DC">
        <w:tab/>
      </w:r>
      <w:r>
        <w:t>CONSULTATIONS PRIOR TO THE ADOPTION OF THE ACT</w:t>
      </w:r>
    </w:p>
    <w:p w14:paraId="355084DB" w14:textId="6D6C78A0" w:rsidR="0076310F" w:rsidRPr="00EF6925" w:rsidRDefault="0076310F" w:rsidP="000159A8">
      <w:pPr>
        <w:pStyle w:val="Text1"/>
      </w:pPr>
      <w:r w:rsidRPr="00EF6925">
        <w:t xml:space="preserve">Several of the proposed amendments were requested by competent authorities of Member States and certain private stakeholders' organisations. They have been discussed during several meetings of the relevant expert group, representing competent authorities of all Member States, and are largely supported by these experts.  </w:t>
      </w:r>
    </w:p>
    <w:p w14:paraId="1E1799BD" w14:textId="77777777" w:rsidR="00FE4DFB" w:rsidRPr="00EF6925" w:rsidRDefault="0076310F" w:rsidP="000159A8">
      <w:pPr>
        <w:pStyle w:val="Text1"/>
      </w:pPr>
      <w:r w:rsidRPr="00EF6925">
        <w:t>In addition, private stakeholders’ organisations were consulted within the framework of the Advisory Group on the Food Cha</w:t>
      </w:r>
      <w:r w:rsidR="00FE4DFB" w:rsidRPr="00EF6925">
        <w:t>in and Animal and Plant Health.</w:t>
      </w:r>
    </w:p>
    <w:p w14:paraId="51169CDC" w14:textId="0ED0D5C7" w:rsidR="00FE4DFB" w:rsidRDefault="0076310F" w:rsidP="000159A8">
      <w:pPr>
        <w:pStyle w:val="Text1"/>
        <w:rPr>
          <w:rStyle w:val="Marker"/>
          <w:b/>
          <w:smallCaps/>
        </w:rPr>
      </w:pPr>
      <w:r w:rsidRPr="007A4B38">
        <w:t>Before adopting this Delegated Regulation</w:t>
      </w:r>
      <w:r w:rsidR="00724A16">
        <w:t>,</w:t>
      </w:r>
      <w:r w:rsidRPr="007A4B38">
        <w:t xml:space="preserve"> the Commission conducted public consultations in an open and transparent way in accordance with the procedures laid down in the Interinstitutional Agreement on Better Law-Making</w:t>
      </w:r>
      <w:r w:rsidRPr="0076310F">
        <w:rPr>
          <w:rStyle w:val="Marker"/>
        </w:rPr>
        <w:t>.</w:t>
      </w:r>
    </w:p>
    <w:p w14:paraId="3FEF6346" w14:textId="6B8C8A1F" w:rsidR="00344FE6" w:rsidRDefault="00344FE6" w:rsidP="00BA3710">
      <w:pPr>
        <w:pStyle w:val="ManualHeading1"/>
      </w:pPr>
      <w:r w:rsidRPr="00FB18DC">
        <w:t>3.</w:t>
      </w:r>
      <w:r w:rsidRPr="00FB18DC">
        <w:tab/>
      </w:r>
      <w:r>
        <w:t>LEGAL ELEMENTS OF THE DELEGATED ACT</w:t>
      </w:r>
    </w:p>
    <w:p w14:paraId="5DC043B4" w14:textId="6D6DB5B3" w:rsidR="00344FE6" w:rsidRPr="0002786F" w:rsidRDefault="00FE4DFB" w:rsidP="000159A8">
      <w:pPr>
        <w:pStyle w:val="Text1"/>
        <w:rPr>
          <w:b/>
          <w:u w:val="single"/>
        </w:rPr>
      </w:pPr>
      <w:r w:rsidRPr="00EF6925">
        <w:t>Amendments to Annex III of Regulation (EC) No 853/2004 should be made by a Delegated Regulation in accordance with Article 10</w:t>
      </w:r>
      <w:r w:rsidR="00724A16" w:rsidRPr="00EF6925">
        <w:t>(</w:t>
      </w:r>
      <w:r w:rsidRPr="00EF6925">
        <w:t>1</w:t>
      </w:r>
      <w:r w:rsidR="00724A16" w:rsidRPr="00EF6925">
        <w:t>)</w:t>
      </w:r>
      <w:r w:rsidRPr="00EF6925">
        <w:t xml:space="preserve"> of Regulation (EC) No 853/2004.</w:t>
      </w:r>
    </w:p>
    <w:p w14:paraId="33F230F9" w14:textId="77777777" w:rsidR="00344FE6" w:rsidRDefault="00344FE6" w:rsidP="00BA3710">
      <w:pPr>
        <w:sectPr w:rsidR="00344FE6" w:rsidSect="00C64990">
          <w:footerReference w:type="default" r:id="rId15"/>
          <w:footerReference w:type="first" r:id="rId16"/>
          <w:pgSz w:w="11907" w:h="16839"/>
          <w:pgMar w:top="1134" w:right="1417" w:bottom="1134" w:left="1417" w:header="709" w:footer="709" w:gutter="0"/>
          <w:cols w:space="708"/>
          <w:docGrid w:linePitch="360"/>
        </w:sectPr>
      </w:pPr>
    </w:p>
    <w:p w14:paraId="6D4D9F77" w14:textId="5918AFD4" w:rsidR="00344FE6" w:rsidRPr="00937BA9" w:rsidRDefault="00C64990" w:rsidP="00C64990">
      <w:pPr>
        <w:pStyle w:val="Typedudocument"/>
      </w:pPr>
      <w:r w:rsidRPr="00C64990">
        <w:t>COMMISSION DELEGATED REGULATION (EU) …/...</w:t>
      </w:r>
    </w:p>
    <w:p w14:paraId="55EB7E5B" w14:textId="677FB23C" w:rsidR="00344FE6" w:rsidRPr="00CE4FF7" w:rsidRDefault="00C64990" w:rsidP="00C64990">
      <w:pPr>
        <w:pStyle w:val="Datedadoption"/>
      </w:pPr>
      <w:r w:rsidRPr="00C64990">
        <w:t xml:space="preserve">of </w:t>
      </w:r>
      <w:r w:rsidRPr="00C64990">
        <w:rPr>
          <w:rStyle w:val="Marker2"/>
        </w:rPr>
        <w:t>XXX</w:t>
      </w:r>
    </w:p>
    <w:p w14:paraId="465B5914" w14:textId="09B92439" w:rsidR="00344FE6" w:rsidRPr="00862874" w:rsidRDefault="00C64990" w:rsidP="00C64990">
      <w:pPr>
        <w:pStyle w:val="Titreobjet"/>
      </w:pPr>
      <w:r w:rsidRPr="00C64990">
        <w:t>amending Annex III to Regulation (EC) No 853/2004 of the European Parliament and of the Council on specific hygiene requirements for food of animal origin</w:t>
      </w:r>
    </w:p>
    <w:p w14:paraId="39751CF2" w14:textId="48D670E4" w:rsidR="00344FE6" w:rsidRPr="00344FE6" w:rsidRDefault="00C64990" w:rsidP="00C64990">
      <w:pPr>
        <w:pStyle w:val="IntrtEEE"/>
      </w:pPr>
      <w:r w:rsidRPr="00C64990">
        <w:t>(Text with EEA relevance)</w:t>
      </w:r>
    </w:p>
    <w:p w14:paraId="5CE45118" w14:textId="77777777" w:rsidR="00344FE6" w:rsidRPr="00937BA9" w:rsidRDefault="00344FE6" w:rsidP="00BA3710">
      <w:pPr>
        <w:pStyle w:val="Institutionquiagit"/>
      </w:pPr>
      <w:r w:rsidRPr="00937BA9">
        <w:t>THE EUROPEAN COMMISSION,</w:t>
      </w:r>
    </w:p>
    <w:p w14:paraId="3E07F61D" w14:textId="77777777" w:rsidR="00344FE6" w:rsidRPr="00937BA9" w:rsidRDefault="00344FE6" w:rsidP="00BA3710">
      <w:r w:rsidRPr="00937BA9">
        <w:rPr>
          <w:color w:val="000000"/>
        </w:rPr>
        <w:t>Having regard to the Treaty on the Functioning of the European Union</w:t>
      </w:r>
      <w:r w:rsidRPr="00937BA9">
        <w:t>,</w:t>
      </w:r>
    </w:p>
    <w:p w14:paraId="52797BB1" w14:textId="3232D81A" w:rsidR="00344FE6" w:rsidRPr="00937BA9" w:rsidRDefault="00344FE6" w:rsidP="00BA3710">
      <w:r>
        <w:t>Having regard to Regulation (EC) No 853/2004 of the European Parliament and of the Council of 29 April 2004 laying down specific hygiene rules for food of animal origin</w:t>
      </w:r>
      <w:r w:rsidRPr="00937BA9">
        <w:rPr>
          <w:rStyle w:val="FootnoteReference"/>
        </w:rPr>
        <w:footnoteReference w:id="2"/>
      </w:r>
      <w:r w:rsidRPr="00937BA9">
        <w:t>, and in particular Article</w:t>
      </w:r>
      <w:r w:rsidRPr="00FE4DFB">
        <w:t xml:space="preserve"> </w:t>
      </w:r>
      <w:r w:rsidRPr="00EF6925">
        <w:t>10</w:t>
      </w:r>
      <w:r w:rsidR="00724A16" w:rsidRPr="00EF6925">
        <w:t>(</w:t>
      </w:r>
      <w:r w:rsidRPr="00EF6925">
        <w:t>1</w:t>
      </w:r>
      <w:r w:rsidR="00724A16" w:rsidRPr="00EF6925">
        <w:t>)</w:t>
      </w:r>
      <w:r w:rsidRPr="00EF6925">
        <w:t xml:space="preserve"> </w:t>
      </w:r>
      <w:r w:rsidRPr="00937BA9">
        <w:t>thereof,</w:t>
      </w:r>
    </w:p>
    <w:p w14:paraId="198B283E" w14:textId="77777777" w:rsidR="00344FE6" w:rsidRPr="00937BA9" w:rsidRDefault="00344FE6" w:rsidP="00BA3710">
      <w:r w:rsidRPr="00937BA9">
        <w:t>Whereas:</w:t>
      </w:r>
    </w:p>
    <w:p w14:paraId="0A939E6E" w14:textId="142F6F74" w:rsidR="00344FE6" w:rsidRPr="00B2413F" w:rsidRDefault="0002786F" w:rsidP="00AA3071">
      <w:pPr>
        <w:pStyle w:val="Considrant"/>
        <w:numPr>
          <w:ilvl w:val="0"/>
          <w:numId w:val="6"/>
        </w:numPr>
      </w:pPr>
      <w:r w:rsidRPr="0002786F">
        <w:t xml:space="preserve">Annex III </w:t>
      </w:r>
      <w:r w:rsidR="00EC39CC">
        <w:t>to</w:t>
      </w:r>
      <w:r w:rsidR="00EC39CC" w:rsidRPr="0002786F">
        <w:t xml:space="preserve"> </w:t>
      </w:r>
      <w:r w:rsidRPr="0002786F">
        <w:t xml:space="preserve">Regulation (EC) No 853/2004 of the European Parliament and of the Council lays down specific </w:t>
      </w:r>
      <w:r w:rsidR="00D90860">
        <w:t xml:space="preserve">rules on the </w:t>
      </w:r>
      <w:r w:rsidRPr="0002786F">
        <w:t xml:space="preserve">hygiene </w:t>
      </w:r>
      <w:r w:rsidR="00D90860">
        <w:t>of</w:t>
      </w:r>
      <w:r w:rsidRPr="0002786F">
        <w:t xml:space="preserve"> food of animal origin</w:t>
      </w:r>
      <w:r w:rsidR="00D90860">
        <w:t xml:space="preserve"> for food business operators</w:t>
      </w:r>
      <w:r w:rsidRPr="0002786F">
        <w:t xml:space="preserve">. </w:t>
      </w:r>
    </w:p>
    <w:p w14:paraId="5C319583" w14:textId="128927DB" w:rsidR="00344FE6" w:rsidRPr="00EF6925" w:rsidRDefault="0002786F" w:rsidP="00EB2164">
      <w:pPr>
        <w:pStyle w:val="Considrant"/>
      </w:pPr>
      <w:r w:rsidRPr="00EF6925">
        <w:t xml:space="preserve">Rennet </w:t>
      </w:r>
      <w:r w:rsidR="004254E4" w:rsidRPr="00EF6925">
        <w:t xml:space="preserve">is a complex of </w:t>
      </w:r>
      <w:r w:rsidRPr="00EF6925">
        <w:t xml:space="preserve">enzymes used for the production of certain cheeses. </w:t>
      </w:r>
      <w:r w:rsidR="00ED1579" w:rsidRPr="00EF6925">
        <w:t xml:space="preserve">It </w:t>
      </w:r>
      <w:r w:rsidRPr="00EF6925">
        <w:t xml:space="preserve">is collected from the stomachs of young ruminants. </w:t>
      </w:r>
      <w:r w:rsidR="00EB2164">
        <w:t xml:space="preserve">Based on the experience gained by food business operators, the specific hygiene requirements </w:t>
      </w:r>
      <w:r w:rsidR="00997337">
        <w:t xml:space="preserve">on stomachs </w:t>
      </w:r>
      <w:r w:rsidR="00EB2164">
        <w:t>for the production of rennet</w:t>
      </w:r>
      <w:r w:rsidR="00997337">
        <w:t xml:space="preserve">, laid down in Point 18(a) of Chapter IV to Section I </w:t>
      </w:r>
      <w:r w:rsidR="004A7E44">
        <w:t>t</w:t>
      </w:r>
      <w:r w:rsidR="00997337">
        <w:t>o Annex III of Regulation (EC) No 853/2004,</w:t>
      </w:r>
      <w:r w:rsidR="00EB2164">
        <w:t xml:space="preserve"> should be amended in </w:t>
      </w:r>
      <w:r w:rsidRPr="00EF6925">
        <w:t>order to optimise the collection of rennet from young sheep and goats</w:t>
      </w:r>
      <w:r w:rsidR="00997337">
        <w:t xml:space="preserve">. </w:t>
      </w:r>
      <w:r w:rsidR="00EB2164">
        <w:t xml:space="preserve">In particular, </w:t>
      </w:r>
      <w:r w:rsidRPr="00EF6925">
        <w:t xml:space="preserve">it is appropriate to allow such stomachs </w:t>
      </w:r>
      <w:r w:rsidR="00997337">
        <w:t>to</w:t>
      </w:r>
      <w:r w:rsidR="00997337" w:rsidRPr="00EF6925">
        <w:t xml:space="preserve"> </w:t>
      </w:r>
      <w:r w:rsidRPr="00EF6925">
        <w:t>leave the slaughterhouse without being emptied or cleaned.</w:t>
      </w:r>
    </w:p>
    <w:p w14:paraId="7104EA0A" w14:textId="26096CD9" w:rsidR="004254E4" w:rsidRPr="00EF6925" w:rsidRDefault="00EB2164" w:rsidP="00997337">
      <w:pPr>
        <w:pStyle w:val="Considrant"/>
      </w:pPr>
      <w:r>
        <w:t>T</w:t>
      </w:r>
      <w:r w:rsidRPr="00EB2164">
        <w:t xml:space="preserve">echnological developments </w:t>
      </w:r>
      <w:r w:rsidR="00997337">
        <w:t xml:space="preserve">have </w:t>
      </w:r>
      <w:r>
        <w:t>result</w:t>
      </w:r>
      <w:r w:rsidR="00997337">
        <w:t>ed</w:t>
      </w:r>
      <w:r>
        <w:t xml:space="preserve"> in a </w:t>
      </w:r>
      <w:r w:rsidR="004254E4" w:rsidRPr="00EF6925">
        <w:t xml:space="preserve">demand for heads and feet </w:t>
      </w:r>
      <w:r w:rsidR="00997337">
        <w:t xml:space="preserve">of domestic ungulates </w:t>
      </w:r>
      <w:r w:rsidR="004254E4" w:rsidRPr="00EF6925">
        <w:t xml:space="preserve">to be skinned or scalded and depilated outside the slaughterhouse in specialised approved establishments for further </w:t>
      </w:r>
      <w:r w:rsidR="00724A16" w:rsidRPr="00EF6925">
        <w:t xml:space="preserve">processing of </w:t>
      </w:r>
      <w:r w:rsidR="004254E4" w:rsidRPr="00EF6925">
        <w:t xml:space="preserve">food. </w:t>
      </w:r>
      <w:r>
        <w:t>As a practical consequence, h</w:t>
      </w:r>
      <w:r w:rsidRPr="00EF6925">
        <w:t xml:space="preserve">eads </w:t>
      </w:r>
      <w:r w:rsidR="004254E4" w:rsidRPr="00EF6925">
        <w:t xml:space="preserve">and feet </w:t>
      </w:r>
      <w:r w:rsidR="00997337">
        <w:t xml:space="preserve">of domestic ungulates </w:t>
      </w:r>
      <w:r w:rsidR="004254E4" w:rsidRPr="00EF6925">
        <w:t xml:space="preserve">should therefore be allowed </w:t>
      </w:r>
      <w:r w:rsidR="00997337">
        <w:t>to be</w:t>
      </w:r>
      <w:r w:rsidR="00997337" w:rsidRPr="00EF6925">
        <w:t xml:space="preserve"> </w:t>
      </w:r>
      <w:r w:rsidR="004254E4" w:rsidRPr="00EF6925">
        <w:t>transport</w:t>
      </w:r>
      <w:r w:rsidR="00997337">
        <w:t>ed</w:t>
      </w:r>
      <w:r w:rsidR="004254E4" w:rsidRPr="00EF6925">
        <w:t xml:space="preserve"> to these establishments under certain conditions that ensure food</w:t>
      </w:r>
      <w:r w:rsidR="00724A16" w:rsidRPr="00EF6925">
        <w:t xml:space="preserve"> safety</w:t>
      </w:r>
      <w:r w:rsidR="004254E4" w:rsidRPr="00EF6925">
        <w:t>.</w:t>
      </w:r>
      <w:r w:rsidR="00997337" w:rsidRPr="00997337">
        <w:t xml:space="preserve"> Point 18(</w:t>
      </w:r>
      <w:r w:rsidR="00997337">
        <w:t>c</w:t>
      </w:r>
      <w:r w:rsidR="00997337" w:rsidRPr="00997337">
        <w:t xml:space="preserve">) of Chapter IV to Section I of Annex III </w:t>
      </w:r>
      <w:r w:rsidR="004A7E44">
        <w:t>t</w:t>
      </w:r>
      <w:r w:rsidR="00997337" w:rsidRPr="00997337">
        <w:t>o Regulation (EC) No 853/2004</w:t>
      </w:r>
      <w:r w:rsidR="00997337">
        <w:t xml:space="preserve"> should therefore be amended.</w:t>
      </w:r>
    </w:p>
    <w:p w14:paraId="646B5CD5" w14:textId="6D5A367B" w:rsidR="004254E4" w:rsidRPr="00EF6925" w:rsidRDefault="004254E4" w:rsidP="00AD40C8">
      <w:pPr>
        <w:pStyle w:val="Considrant"/>
      </w:pPr>
      <w:r w:rsidRPr="00EF6925">
        <w:t xml:space="preserve">In accordance with </w:t>
      </w:r>
      <w:r w:rsidR="007A4B38" w:rsidRPr="00EF6925">
        <w:t>Article 4 of Commission Delegated Regulation (EU) 2019/624</w:t>
      </w:r>
      <w:r w:rsidR="007A4B38">
        <w:rPr>
          <w:rStyle w:val="FootnoteReference"/>
        </w:rPr>
        <w:footnoteReference w:id="3"/>
      </w:r>
      <w:r w:rsidRPr="00EF6925">
        <w:t xml:space="preserve">, </w:t>
      </w:r>
      <w:r w:rsidR="002E67DC">
        <w:t xml:space="preserve">the official veterinarian may perform </w:t>
      </w:r>
      <w:r w:rsidRPr="00EF6925">
        <w:t xml:space="preserve">ante-mortem inspection </w:t>
      </w:r>
      <w:r w:rsidR="00AD40C8">
        <w:t>outside a slaughterhouse</w:t>
      </w:r>
      <w:r w:rsidR="00AD40C8" w:rsidRPr="00AD40C8">
        <w:t xml:space="preserve"> in </w:t>
      </w:r>
      <w:r w:rsidR="002E67DC">
        <w:t xml:space="preserve">the </w:t>
      </w:r>
      <w:r w:rsidR="00AD40C8" w:rsidRPr="00AD40C8">
        <w:t>case of emergency slaughter</w:t>
      </w:r>
      <w:r w:rsidR="00997337">
        <w:t xml:space="preserve"> of domestic ungulates</w:t>
      </w:r>
      <w:r w:rsidRPr="00EF6925">
        <w:t xml:space="preserve">. </w:t>
      </w:r>
      <w:r w:rsidR="002E67DC">
        <w:t xml:space="preserve">Point 2 of Chapter VI of Section I of Annex III to </w:t>
      </w:r>
      <w:r w:rsidRPr="00EF6925">
        <w:t xml:space="preserve">Regulation (EC) No 853/2004 </w:t>
      </w:r>
      <w:r w:rsidR="002E67DC">
        <w:t>requires a veterinarian to carry out ante mor</w:t>
      </w:r>
      <w:r w:rsidR="004429EA">
        <w:t>tem</w:t>
      </w:r>
      <w:r w:rsidR="002E67DC">
        <w:t xml:space="preserve"> inspection</w:t>
      </w:r>
      <w:r w:rsidR="004429EA">
        <w:t xml:space="preserve"> </w:t>
      </w:r>
      <w:r w:rsidR="002E67DC">
        <w:t xml:space="preserve">in the case of emergency slaughter. </w:t>
      </w:r>
      <w:r w:rsidR="00997337">
        <w:t xml:space="preserve">That </w:t>
      </w:r>
      <w:r w:rsidR="002E67DC">
        <w:t xml:space="preserve">requirement </w:t>
      </w:r>
      <w:r w:rsidRPr="00EF6925">
        <w:t>should be</w:t>
      </w:r>
      <w:r w:rsidR="00997337">
        <w:t xml:space="preserve"> amended so as to be</w:t>
      </w:r>
      <w:r w:rsidRPr="00EF6925">
        <w:t xml:space="preserve"> consistent with th</w:t>
      </w:r>
      <w:r w:rsidR="002E67DC">
        <w:t>at</w:t>
      </w:r>
      <w:r w:rsidR="002D7176">
        <w:t xml:space="preserve"> </w:t>
      </w:r>
      <w:r w:rsidR="00997337">
        <w:t xml:space="preserve">Article 4 of </w:t>
      </w:r>
      <w:r w:rsidR="00AD40C8">
        <w:t xml:space="preserve">Delegated </w:t>
      </w:r>
      <w:r w:rsidR="00F95A50" w:rsidRPr="00EF6925">
        <w:t xml:space="preserve">Regulation (EU) </w:t>
      </w:r>
      <w:r w:rsidR="00AD40C8">
        <w:t xml:space="preserve">2019/624 </w:t>
      </w:r>
      <w:r w:rsidR="00997337">
        <w:t>and refer instead</w:t>
      </w:r>
      <w:r w:rsidR="00EB2164">
        <w:t xml:space="preserve"> to the official veterinarian</w:t>
      </w:r>
      <w:r w:rsidR="00F95A50" w:rsidRPr="00EF6925">
        <w:t>.</w:t>
      </w:r>
      <w:r w:rsidRPr="00EF6925">
        <w:t xml:space="preserve"> </w:t>
      </w:r>
    </w:p>
    <w:p w14:paraId="07E1E8CF" w14:textId="057EA126" w:rsidR="00F95A50" w:rsidRDefault="00EC39CC" w:rsidP="00E4615B">
      <w:pPr>
        <w:pStyle w:val="Considrant"/>
      </w:pPr>
      <w:r>
        <w:t xml:space="preserve">Improving animal welfare is one of the actions proposed in the </w:t>
      </w:r>
      <w:r w:rsidR="00997337">
        <w:t xml:space="preserve">Commission’s </w:t>
      </w:r>
      <w:r>
        <w:t>Farm to Fork Strategy</w:t>
      </w:r>
      <w:r w:rsidR="00E4615B">
        <w:rPr>
          <w:rStyle w:val="FootnoteReference"/>
        </w:rPr>
        <w:footnoteReference w:id="4"/>
      </w:r>
      <w:r>
        <w:t xml:space="preserve"> for a fair, healthy and environmentally-friendly food system, as </w:t>
      </w:r>
      <w:r w:rsidR="002B4870">
        <w:t xml:space="preserve">part of the </w:t>
      </w:r>
      <w:r w:rsidR="00724A16">
        <w:t xml:space="preserve">European </w:t>
      </w:r>
      <w:r w:rsidR="002B4870">
        <w:t>Green Deal. There is</w:t>
      </w:r>
      <w:r w:rsidR="004A7E44">
        <w:t>,</w:t>
      </w:r>
      <w:r w:rsidR="002B4870">
        <w:t xml:space="preserve"> in particular</w:t>
      </w:r>
      <w:r w:rsidR="004A7E44">
        <w:t>,</w:t>
      </w:r>
      <w:r w:rsidR="002B4870">
        <w:t xml:space="preserve"> </w:t>
      </w:r>
      <w:r w:rsidR="00E4615B">
        <w:t xml:space="preserve">a change in patterns of </w:t>
      </w:r>
      <w:r w:rsidR="004A7E44">
        <w:t xml:space="preserve">meat </w:t>
      </w:r>
      <w:r w:rsidR="00E4615B">
        <w:t xml:space="preserve">consumption with </w:t>
      </w:r>
      <w:r w:rsidR="002B4870">
        <w:t xml:space="preserve">an increasing demand </w:t>
      </w:r>
      <w:r w:rsidR="00724A16">
        <w:t xml:space="preserve">by </w:t>
      </w:r>
      <w:r w:rsidR="00F445DE">
        <w:t xml:space="preserve">the </w:t>
      </w:r>
      <w:r w:rsidR="002E67DC">
        <w:t xml:space="preserve">European </w:t>
      </w:r>
      <w:r w:rsidR="00F445DE">
        <w:t xml:space="preserve">Parliament, </w:t>
      </w:r>
      <w:r w:rsidR="002B4870">
        <w:t xml:space="preserve">farmers and consumers </w:t>
      </w:r>
      <w:r w:rsidR="00F445DE">
        <w:t xml:space="preserve">for </w:t>
      </w:r>
      <w:r w:rsidR="00E4615B">
        <w:t xml:space="preserve">meat </w:t>
      </w:r>
      <w:r w:rsidR="00F445DE">
        <w:t>of certain domestic ungulates</w:t>
      </w:r>
      <w:r w:rsidR="002D7176">
        <w:t xml:space="preserve"> </w:t>
      </w:r>
      <w:r w:rsidR="002E67DC">
        <w:t>for</w:t>
      </w:r>
      <w:r w:rsidR="00F445DE">
        <w:t xml:space="preserve"> </w:t>
      </w:r>
      <w:r w:rsidR="00E4615B">
        <w:t xml:space="preserve">which </w:t>
      </w:r>
      <w:r w:rsidR="002B4870">
        <w:t xml:space="preserve">possible animal welfare </w:t>
      </w:r>
      <w:r>
        <w:t xml:space="preserve">concerns </w:t>
      </w:r>
      <w:r w:rsidR="002B4870">
        <w:t xml:space="preserve">during </w:t>
      </w:r>
      <w:r w:rsidR="00997337">
        <w:t xml:space="preserve">collection </w:t>
      </w:r>
      <w:r w:rsidR="002B4870">
        <w:t xml:space="preserve">and transport </w:t>
      </w:r>
      <w:r w:rsidR="002E67DC">
        <w:t>thereof</w:t>
      </w:r>
      <w:r w:rsidR="00F445DE">
        <w:t>, have</w:t>
      </w:r>
      <w:r w:rsidR="00E4615B">
        <w:t xml:space="preserve"> been avoided</w:t>
      </w:r>
      <w:r w:rsidR="00F445DE">
        <w:t xml:space="preserve"> by slaughter on the holding of provenance</w:t>
      </w:r>
      <w:r w:rsidR="002B4870">
        <w:t xml:space="preserve">.   </w:t>
      </w:r>
      <w:r w:rsidR="00F95A50">
        <w:t xml:space="preserve"> </w:t>
      </w:r>
    </w:p>
    <w:p w14:paraId="308D71C2" w14:textId="69026B9A" w:rsidR="00F95A50" w:rsidRDefault="00F21F74" w:rsidP="005C2D10">
      <w:pPr>
        <w:pStyle w:val="Considrant"/>
      </w:pPr>
      <w:r>
        <w:t xml:space="preserve">Apart from emergency slaughter, domestic ungulates </w:t>
      </w:r>
      <w:r w:rsidR="002E67DC">
        <w:t xml:space="preserve">are </w:t>
      </w:r>
      <w:r w:rsidR="00997337">
        <w:t xml:space="preserve">required </w:t>
      </w:r>
      <w:r w:rsidR="002E67DC">
        <w:t>to</w:t>
      </w:r>
      <w:r>
        <w:t xml:space="preserve"> be slaughter</w:t>
      </w:r>
      <w:r w:rsidR="002E67DC">
        <w:t>ed</w:t>
      </w:r>
      <w:r>
        <w:t xml:space="preserve"> in a slaughterhouse approved in accordance with Article 4(2) of Regulation (EC) No 853/2004 to ensure compliance with the hygiene requirements</w:t>
      </w:r>
      <w:r w:rsidR="00997337">
        <w:t xml:space="preserve"> laid down</w:t>
      </w:r>
      <w:r>
        <w:t xml:space="preserve"> in Chapters II and IV of Section I </w:t>
      </w:r>
      <w:r w:rsidR="002E67DC">
        <w:t>of</w:t>
      </w:r>
      <w:r>
        <w:t xml:space="preserve"> Annex III </w:t>
      </w:r>
      <w:r w:rsidR="002E67DC">
        <w:t>to</w:t>
      </w:r>
      <w:r>
        <w:t xml:space="preserve"> that Regulation.</w:t>
      </w:r>
      <w:r w:rsidR="002D7176">
        <w:t xml:space="preserve"> </w:t>
      </w:r>
      <w:r w:rsidR="005C2D10" w:rsidRPr="005C2D10">
        <w:t xml:space="preserve">The competent authorities of Member States can approve mobile slaughterhouses in accordance with that Article. These mobile facilities may be placed in all appropriate locations, including farms, where </w:t>
      </w:r>
      <w:r w:rsidR="00CB460E">
        <w:t>groups of</w:t>
      </w:r>
      <w:r w:rsidR="00CB460E" w:rsidRPr="00CB460E">
        <w:t xml:space="preserve"> </w:t>
      </w:r>
      <w:r w:rsidR="005C2D10">
        <w:t xml:space="preserve">healthy </w:t>
      </w:r>
      <w:r w:rsidR="00CB460E" w:rsidRPr="00CB460E">
        <w:t>animals</w:t>
      </w:r>
      <w:r w:rsidR="005C2D10">
        <w:t xml:space="preserve"> can be slaughtered</w:t>
      </w:r>
      <w:r w:rsidR="00CB460E" w:rsidRPr="00CB460E">
        <w:t xml:space="preserve">. </w:t>
      </w:r>
      <w:r w:rsidR="00786A6F">
        <w:t xml:space="preserve">In </w:t>
      </w:r>
      <w:r w:rsidR="00A807AD">
        <w:t xml:space="preserve">other </w:t>
      </w:r>
      <w:r w:rsidR="00786A6F">
        <w:t xml:space="preserve">circumstances, </w:t>
      </w:r>
      <w:r w:rsidR="00997337">
        <w:t xml:space="preserve">the </w:t>
      </w:r>
      <w:r w:rsidR="00786A6F">
        <w:t xml:space="preserve">transport of certain animals may create a risk for the handler or for the welfare of the animals. </w:t>
      </w:r>
      <w:r w:rsidR="007122BD">
        <w:t>S</w:t>
      </w:r>
      <w:r w:rsidR="00786A6F">
        <w:t>laughter</w:t>
      </w:r>
      <w:r w:rsidR="007122BD">
        <w:t xml:space="preserve"> and bleeding should therefore be permitted </w:t>
      </w:r>
      <w:r w:rsidR="00786A6F">
        <w:t xml:space="preserve">at the holding of provenance </w:t>
      </w:r>
      <w:r w:rsidR="007122BD">
        <w:t xml:space="preserve">for </w:t>
      </w:r>
      <w:r w:rsidR="00786A6F">
        <w:t xml:space="preserve">a </w:t>
      </w:r>
      <w:r w:rsidR="00A807AD" w:rsidRPr="009C61A6">
        <w:t>limited</w:t>
      </w:r>
      <w:r w:rsidR="00A807AD">
        <w:t xml:space="preserve"> number of </w:t>
      </w:r>
      <w:r w:rsidR="00786A6F">
        <w:t xml:space="preserve">domestic bovine </w:t>
      </w:r>
      <w:r w:rsidR="005C2D10">
        <w:t>and</w:t>
      </w:r>
      <w:r w:rsidR="00A807AD">
        <w:t xml:space="preserve"> porcine </w:t>
      </w:r>
      <w:r w:rsidR="00786A6F">
        <w:t>anim</w:t>
      </w:r>
      <w:r w:rsidR="007122BD">
        <w:t>al</w:t>
      </w:r>
      <w:r w:rsidR="00A807AD">
        <w:t>s</w:t>
      </w:r>
      <w:r w:rsidR="007122BD">
        <w:t xml:space="preserve"> </w:t>
      </w:r>
      <w:r w:rsidR="005C2D10">
        <w:t xml:space="preserve">and </w:t>
      </w:r>
      <w:r w:rsidR="00A807AD">
        <w:t xml:space="preserve">domestic </w:t>
      </w:r>
      <w:r w:rsidR="007122BD">
        <w:t>soliped</w:t>
      </w:r>
      <w:r w:rsidR="00A807AD">
        <w:t>s</w:t>
      </w:r>
      <w:r w:rsidR="00F95A50">
        <w:t>.</w:t>
      </w:r>
      <w:r w:rsidR="008965F4">
        <w:t xml:space="preserve"> Such practice should be subject to strict conditions to maintain a high level of food safety of the meat derived from such animal.</w:t>
      </w:r>
    </w:p>
    <w:p w14:paraId="24056FDF" w14:textId="123F5769" w:rsidR="00872878" w:rsidRDefault="00872878" w:rsidP="00E8487C">
      <w:pPr>
        <w:pStyle w:val="Considrant"/>
      </w:pPr>
      <w:r>
        <w:t xml:space="preserve">Domestic bovine </w:t>
      </w:r>
      <w:r w:rsidR="00A807AD">
        <w:t xml:space="preserve">and porcine </w:t>
      </w:r>
      <w:r>
        <w:t xml:space="preserve">animals </w:t>
      </w:r>
      <w:r w:rsidR="007122BD">
        <w:t xml:space="preserve">and </w:t>
      </w:r>
      <w:r w:rsidR="00620F60">
        <w:t xml:space="preserve">domestic </w:t>
      </w:r>
      <w:r w:rsidR="007122BD">
        <w:t xml:space="preserve">solipeds </w:t>
      </w:r>
      <w:r>
        <w:t>slaughtered on the holding of provenance, should be accompanied by a</w:t>
      </w:r>
      <w:r w:rsidR="00E8487C">
        <w:t>n</w:t>
      </w:r>
      <w:r>
        <w:t xml:space="preserve"> </w:t>
      </w:r>
      <w:r w:rsidR="00E8487C">
        <w:t xml:space="preserve">official </w:t>
      </w:r>
      <w:r>
        <w:t>certificate</w:t>
      </w:r>
      <w:r w:rsidR="00E8487C">
        <w:t>, attesting that the hygiene requirements for slaughter have been complied with. Such</w:t>
      </w:r>
      <w:r w:rsidR="007122BD">
        <w:t xml:space="preserve"> an</w:t>
      </w:r>
      <w:r w:rsidR="00E8487C">
        <w:t xml:space="preserve"> official certificate </w:t>
      </w:r>
      <w:r w:rsidR="00786A6F">
        <w:t>is</w:t>
      </w:r>
      <w:r w:rsidR="00E8487C">
        <w:t xml:space="preserve"> </w:t>
      </w:r>
      <w:r w:rsidR="007122BD">
        <w:t>provided for</w:t>
      </w:r>
      <w:r w:rsidR="00E8487C">
        <w:t xml:space="preserve"> in Commission Implementing Regulation [C </w:t>
      </w:r>
      <w:r w:rsidR="00E8487C" w:rsidRPr="00E8487C">
        <w:t>(2020)8100</w:t>
      </w:r>
      <w:r w:rsidR="00E8487C">
        <w:t>]</w:t>
      </w:r>
      <w:r w:rsidR="00E8487C">
        <w:rPr>
          <w:rStyle w:val="FootnoteReference"/>
        </w:rPr>
        <w:footnoteReference w:id="5"/>
      </w:r>
      <w:r w:rsidR="00D564F8">
        <w:t>.</w:t>
      </w:r>
      <w:r>
        <w:t xml:space="preserve"> </w:t>
      </w:r>
    </w:p>
    <w:p w14:paraId="106920AB" w14:textId="52F68786" w:rsidR="00EC39CC" w:rsidRPr="00EC39CC" w:rsidRDefault="006A3AE5" w:rsidP="003637C7">
      <w:pPr>
        <w:pStyle w:val="Considrant"/>
      </w:pPr>
      <w:r w:rsidRPr="00FC7187">
        <w:t xml:space="preserve">On 27 September 2018, </w:t>
      </w:r>
      <w:r w:rsidR="00F445DE">
        <w:t xml:space="preserve">the European Food Safety Authority </w:t>
      </w:r>
      <w:r w:rsidR="00F445DE" w:rsidRPr="009351E5">
        <w:t>(</w:t>
      </w:r>
      <w:r w:rsidRPr="009351E5">
        <w:t>EFSA</w:t>
      </w:r>
      <w:r w:rsidR="00F445DE" w:rsidRPr="009351E5">
        <w:t>)</w:t>
      </w:r>
      <w:r w:rsidRPr="009351E5">
        <w:t xml:space="preserve"> adopted a second scientific opinion on hazard analysis approaches for certain small retail establishments and food donations</w:t>
      </w:r>
      <w:r w:rsidRPr="009351E5">
        <w:rPr>
          <w:rStyle w:val="FootnoteReference"/>
        </w:rPr>
        <w:footnoteReference w:id="6"/>
      </w:r>
      <w:r w:rsidRPr="009351E5">
        <w:t xml:space="preserve">. </w:t>
      </w:r>
      <w:r w:rsidR="00F445DE" w:rsidRPr="009351E5">
        <w:t xml:space="preserve">That </w:t>
      </w:r>
      <w:r w:rsidR="007122BD">
        <w:t>O</w:t>
      </w:r>
      <w:r w:rsidR="007122BD" w:rsidRPr="009351E5">
        <w:t xml:space="preserve">pinion </w:t>
      </w:r>
      <w:r w:rsidR="00EC39CC" w:rsidRPr="009351E5">
        <w:t xml:space="preserve">recommends freezing at </w:t>
      </w:r>
      <w:r w:rsidR="00EC39CC" w:rsidRPr="00EC39CC">
        <w:t xml:space="preserve">retail level as an additional tool for guaranteeing the safe redistribution of food to those in need. </w:t>
      </w:r>
      <w:r w:rsidR="007122BD">
        <w:t>The f</w:t>
      </w:r>
      <w:r w:rsidR="007122BD" w:rsidRPr="00EC39CC">
        <w:t xml:space="preserve">acilitation </w:t>
      </w:r>
      <w:r w:rsidR="00EC39CC" w:rsidRPr="00EC39CC">
        <w:t xml:space="preserve">of safe food donation practices, both prevents food waste and contributes to food security, in line with the objectives laid down in the Commission’s Farm to Fork strategy and its overall aim to establish a fair, healthy and environmentally-friendly food system as part of the European Green Deal. </w:t>
      </w:r>
      <w:r w:rsidR="007122BD">
        <w:t>The f</w:t>
      </w:r>
      <w:r w:rsidR="007122BD" w:rsidRPr="00EC39CC">
        <w:t xml:space="preserve">reezing </w:t>
      </w:r>
      <w:r w:rsidR="00EC39CC" w:rsidRPr="00EC39CC">
        <w:t>of food can be an important means of ensuring its safe redistribution by food banks and other charities</w:t>
      </w:r>
      <w:r w:rsidR="00C25570">
        <w:t xml:space="preserve">. </w:t>
      </w:r>
      <w:r w:rsidR="007122BD" w:rsidRPr="00CB460E">
        <w:t xml:space="preserve">The freezing </w:t>
      </w:r>
      <w:r w:rsidR="00C25570" w:rsidRPr="00CB460E">
        <w:t xml:space="preserve">of meat is currently not allowed </w:t>
      </w:r>
      <w:r w:rsidR="003637C7" w:rsidRPr="00CB460E">
        <w:t>in the case of retail to retail activity</w:t>
      </w:r>
      <w:r w:rsidR="003637C7" w:rsidRPr="00A807AD">
        <w:t xml:space="preserve"> </w:t>
      </w:r>
      <w:r w:rsidR="00C25570" w:rsidRPr="00CB460E">
        <w:t xml:space="preserve">since meat intended for freezing </w:t>
      </w:r>
      <w:r w:rsidR="00335D39" w:rsidRPr="00CB460E">
        <w:t xml:space="preserve">is </w:t>
      </w:r>
      <w:r w:rsidR="007122BD" w:rsidRPr="00CB460E">
        <w:t xml:space="preserve">required </w:t>
      </w:r>
      <w:r w:rsidR="00335D39" w:rsidRPr="00CB460E">
        <w:t>to</w:t>
      </w:r>
      <w:r w:rsidR="00C25570" w:rsidRPr="00CB460E">
        <w:t xml:space="preserve"> be frozen without undue delay after slaughter or cutting in accordance with point 4 of Chapter VII of Section I </w:t>
      </w:r>
      <w:r w:rsidR="007122BD" w:rsidRPr="00CB460E">
        <w:t xml:space="preserve">of Annex III to Regulation (EC) No 853/2004, as regards </w:t>
      </w:r>
      <w:r w:rsidR="00C25570" w:rsidRPr="00CB460E">
        <w:t>domestic ungulates</w:t>
      </w:r>
      <w:r w:rsidR="007122BD" w:rsidRPr="00CB460E">
        <w:t xml:space="preserve"> </w:t>
      </w:r>
      <w:r w:rsidR="00C25570" w:rsidRPr="00CB460E">
        <w:t>and point 5 of Chapter V of Section II</w:t>
      </w:r>
      <w:r w:rsidR="007122BD" w:rsidRPr="00CB460E">
        <w:t xml:space="preserve"> of that Annex as regards</w:t>
      </w:r>
      <w:r w:rsidR="00C25570" w:rsidRPr="00CB460E">
        <w:t xml:space="preserve"> poultry and lagomorphs</w:t>
      </w:r>
      <w:r w:rsidR="007122BD" w:rsidRPr="00CB460E">
        <w:t>.</w:t>
      </w:r>
      <w:r w:rsidR="00C25570" w:rsidRPr="00CB460E">
        <w:t xml:space="preserve"> </w:t>
      </w:r>
      <w:r w:rsidR="00B85D32" w:rsidRPr="00CB460E">
        <w:t xml:space="preserve">The freezing </w:t>
      </w:r>
      <w:r w:rsidR="00EC39CC" w:rsidRPr="00CB460E">
        <w:t xml:space="preserve">of meat should therefore be allowed </w:t>
      </w:r>
      <w:r w:rsidR="00EC39CC" w:rsidRPr="00FD619C">
        <w:rPr>
          <w:strike/>
        </w:rPr>
        <w:t>at retail level</w:t>
      </w:r>
      <w:r w:rsidR="00EC39CC" w:rsidRPr="00CB460E">
        <w:t xml:space="preserve"> </w:t>
      </w:r>
      <w:r w:rsidR="003637C7" w:rsidRPr="00CB460E">
        <w:t>in the case of retail to retail activity</w:t>
      </w:r>
      <w:r w:rsidR="003637C7" w:rsidRPr="003637C7">
        <w:t xml:space="preserve"> </w:t>
      </w:r>
      <w:r w:rsidR="00EC39CC" w:rsidRPr="00EC39CC">
        <w:t>under certain conditions</w:t>
      </w:r>
      <w:r w:rsidR="00C25570">
        <w:t xml:space="preserve"> to ensure </w:t>
      </w:r>
      <w:r w:rsidR="00B85D32">
        <w:t xml:space="preserve">the </w:t>
      </w:r>
      <w:r w:rsidR="00C25570">
        <w:t>safe distribution for food donations</w:t>
      </w:r>
      <w:r w:rsidR="00EC39CC" w:rsidRPr="00EC39CC">
        <w:t xml:space="preserve">. </w:t>
      </w:r>
    </w:p>
    <w:p w14:paraId="6A9E2282" w14:textId="71B3EF81" w:rsidR="002713EA" w:rsidRPr="002713EA" w:rsidRDefault="009351E5" w:rsidP="00B85D32">
      <w:pPr>
        <w:pStyle w:val="Considrant"/>
      </w:pPr>
      <w:r>
        <w:t>Regulation (EC) No 854/2004 of the European Parliament and of the Council</w:t>
      </w:r>
      <w:r>
        <w:rPr>
          <w:rStyle w:val="FootnoteReference"/>
        </w:rPr>
        <w:footnoteReference w:id="7"/>
      </w:r>
      <w:r w:rsidR="00335D39">
        <w:t xml:space="preserve"> defined ‘approved veterinarian’. </w:t>
      </w:r>
      <w:r w:rsidR="002713EA" w:rsidRPr="002713EA">
        <w:t>Regulation (EU) 2017/625</w:t>
      </w:r>
      <w:r w:rsidR="00B85D32" w:rsidRPr="00B85D32">
        <w:t xml:space="preserve"> </w:t>
      </w:r>
      <w:r w:rsidR="00B85D32">
        <w:t>of the European Parliament and of the Council</w:t>
      </w:r>
      <w:r w:rsidR="00B85D32">
        <w:rPr>
          <w:rStyle w:val="FootnoteReference"/>
        </w:rPr>
        <w:footnoteReference w:id="8"/>
      </w:r>
      <w:r w:rsidR="00B85D32">
        <w:t xml:space="preserve"> repealed Regulation (EC) 854/2004, and defined</w:t>
      </w:r>
      <w:r w:rsidR="003A41E8">
        <w:t xml:space="preserve"> </w:t>
      </w:r>
      <w:r w:rsidR="00B85D32">
        <w:t>‘</w:t>
      </w:r>
      <w:r w:rsidR="003A41E8">
        <w:t>official veterinarian</w:t>
      </w:r>
      <w:r w:rsidR="00B85D32">
        <w:t>’</w:t>
      </w:r>
      <w:r w:rsidR="003A41E8">
        <w:t xml:space="preserve">. </w:t>
      </w:r>
      <w:r w:rsidR="00B85D32">
        <w:t>A</w:t>
      </w:r>
      <w:r w:rsidR="00B85D32" w:rsidRPr="00B85D32">
        <w:t>s the definition of ‘official veterinarian’ in Regulation (EU) 2017/625 encompasses ‘approved veterinarian’, the references to ‘approved veterinarian’ in Annex III to Regulation (EC) No 853/2004 should be amended to refer instead to ‘official veterinarian’</w:t>
      </w:r>
    </w:p>
    <w:p w14:paraId="601EE3CF" w14:textId="1EF82200" w:rsidR="008965F4" w:rsidRDefault="00DE32BE" w:rsidP="008965F4">
      <w:pPr>
        <w:pStyle w:val="Considrant"/>
      </w:pPr>
      <w:r>
        <w:t xml:space="preserve">The specific </w:t>
      </w:r>
      <w:r w:rsidR="008965F4">
        <w:t>hygiene requirements for</w:t>
      </w:r>
      <w:r w:rsidR="008965F4" w:rsidRPr="008965F4">
        <w:t xml:space="preserve"> the production and placing on the market of meat from even-toed farmed game mammals </w:t>
      </w:r>
      <w:r w:rsidR="008965F4">
        <w:t xml:space="preserve">laid down in Section III of Annex III to Regulation (EC) No 853/2004 </w:t>
      </w:r>
      <w:r w:rsidR="00BB65E3">
        <w:t xml:space="preserve">only </w:t>
      </w:r>
      <w:r>
        <w:t xml:space="preserve">apply </w:t>
      </w:r>
      <w:r w:rsidR="00335D39">
        <w:t>to meat</w:t>
      </w:r>
      <w:r w:rsidR="008965F4">
        <w:t xml:space="preserve"> from </w:t>
      </w:r>
      <w:r w:rsidR="008965F4" w:rsidRPr="00CB460E">
        <w:rPr>
          <w:i/>
        </w:rPr>
        <w:t>Cervidae</w:t>
      </w:r>
      <w:r w:rsidR="008965F4" w:rsidRPr="008965F4">
        <w:t xml:space="preserve"> </w:t>
      </w:r>
      <w:r w:rsidR="008965F4">
        <w:t>or</w:t>
      </w:r>
      <w:r w:rsidR="008965F4" w:rsidRPr="008965F4">
        <w:t xml:space="preserve"> </w:t>
      </w:r>
      <w:r w:rsidR="008965F4" w:rsidRPr="00CB460E">
        <w:rPr>
          <w:i/>
        </w:rPr>
        <w:t>Suidae.</w:t>
      </w:r>
      <w:r w:rsidR="008965F4">
        <w:t xml:space="preserve"> Similar requirements should also appl</w:t>
      </w:r>
      <w:r w:rsidR="00335D39">
        <w:t>y</w:t>
      </w:r>
      <w:r w:rsidR="008965F4">
        <w:t xml:space="preserve"> to meat from other even-toed farmed game mammals such as lamas to avoid a possible food safety risk from </w:t>
      </w:r>
      <w:r>
        <w:t xml:space="preserve">changes in </w:t>
      </w:r>
      <w:r w:rsidR="008965F4">
        <w:t xml:space="preserve">consumption </w:t>
      </w:r>
      <w:r>
        <w:t xml:space="preserve">patterns </w:t>
      </w:r>
      <w:r w:rsidR="00B85D32">
        <w:t xml:space="preserve">due to </w:t>
      </w:r>
      <w:r>
        <w:t xml:space="preserve">an increased consumption </w:t>
      </w:r>
      <w:r w:rsidR="008965F4">
        <w:t>of such meat.</w:t>
      </w:r>
    </w:p>
    <w:p w14:paraId="0DB1E28A" w14:textId="1583EED0" w:rsidR="004C6A58" w:rsidRDefault="004C6A58" w:rsidP="00B85D32">
      <w:pPr>
        <w:pStyle w:val="Considrant"/>
      </w:pPr>
      <w:r>
        <w:t>The bodies and viscera of hunted wild game m</w:t>
      </w:r>
      <w:r w:rsidR="00BB65E3">
        <w:t>ay</w:t>
      </w:r>
      <w:r>
        <w:t xml:space="preserve"> be </w:t>
      </w:r>
      <w:r w:rsidR="00DE32BE">
        <w:t>transported to</w:t>
      </w:r>
      <w:r>
        <w:t xml:space="preserve"> and stored in a collection centre before transport to a game-handling establishment. Specific hygiene rules on the handling and storage of these bodies and viscera in such collection centres </w:t>
      </w:r>
      <w:r w:rsidR="00BB65E3">
        <w:t xml:space="preserve">should be introduced </w:t>
      </w:r>
      <w:r>
        <w:t xml:space="preserve">to ensure the </w:t>
      </w:r>
      <w:r w:rsidR="00B85D32">
        <w:t xml:space="preserve">food </w:t>
      </w:r>
      <w:r>
        <w:t xml:space="preserve">safety of </w:t>
      </w:r>
      <w:r w:rsidR="00BB65E3">
        <w:t xml:space="preserve">that </w:t>
      </w:r>
      <w:r>
        <w:t>meat</w:t>
      </w:r>
      <w:r w:rsidR="00DE32BE">
        <w:t xml:space="preserve"> by amending </w:t>
      </w:r>
      <w:r w:rsidR="00B85D32" w:rsidRPr="00B85D32">
        <w:t xml:space="preserve">the hygiene requirements for wild game laid down in </w:t>
      </w:r>
      <w:r w:rsidR="00DE32BE" w:rsidRPr="00DE32BE">
        <w:t xml:space="preserve">Section </w:t>
      </w:r>
      <w:r w:rsidR="00F24EA5">
        <w:t>IV</w:t>
      </w:r>
      <w:r w:rsidR="00CB460E">
        <w:t xml:space="preserve"> </w:t>
      </w:r>
      <w:r w:rsidR="00B85D32">
        <w:t>of</w:t>
      </w:r>
      <w:r w:rsidR="00DE32BE" w:rsidRPr="00DE32BE">
        <w:t xml:space="preserve"> Annex III to Regulation (EC) No 853/2004</w:t>
      </w:r>
      <w:r>
        <w:t>.</w:t>
      </w:r>
    </w:p>
    <w:p w14:paraId="08B014E2" w14:textId="1796DEF3" w:rsidR="00407268" w:rsidRDefault="00407268" w:rsidP="00B85D32">
      <w:pPr>
        <w:pStyle w:val="Considrant"/>
      </w:pPr>
      <w:r>
        <w:t xml:space="preserve">Wild game </w:t>
      </w:r>
      <w:r w:rsidR="00335D39">
        <w:t xml:space="preserve">is </w:t>
      </w:r>
      <w:r w:rsidR="00B85D32">
        <w:t xml:space="preserve">required </w:t>
      </w:r>
      <w:r w:rsidR="00335D39">
        <w:t xml:space="preserve">to </w:t>
      </w:r>
      <w:r>
        <w:t>be transported as soon as possible to a game handling establishment after examination by a trained person</w:t>
      </w:r>
      <w:r w:rsidR="00DE32BE">
        <w:t xml:space="preserve"> in accordance with point 3 of Chapter II </w:t>
      </w:r>
      <w:r w:rsidR="00B85D32" w:rsidRPr="00B85D32">
        <w:t xml:space="preserve">of Section IV of Annex III to Regulation (EC) No 853/2004 as regards </w:t>
      </w:r>
      <w:r w:rsidR="00DE32BE">
        <w:t xml:space="preserve">large wild game and point 3 of Chapter III </w:t>
      </w:r>
      <w:r w:rsidR="00B85D32">
        <w:t xml:space="preserve">of that Section as regards </w:t>
      </w:r>
      <w:r w:rsidR="00DE32BE">
        <w:t>small wild game</w:t>
      </w:r>
      <w:r w:rsidR="00B85D32">
        <w:t xml:space="preserve"> in order </w:t>
      </w:r>
      <w:r w:rsidR="00F24EA5">
        <w:t xml:space="preserve">to allow chilling </w:t>
      </w:r>
      <w:r w:rsidR="00B85D32">
        <w:t xml:space="preserve">to take place within </w:t>
      </w:r>
      <w:r w:rsidR="00F24EA5">
        <w:t>a reasonable time after killing</w:t>
      </w:r>
      <w:r>
        <w:t xml:space="preserve">. </w:t>
      </w:r>
      <w:r w:rsidR="00792A2C">
        <w:t xml:space="preserve">That </w:t>
      </w:r>
      <w:r>
        <w:t xml:space="preserve">requirement should also apply to wild game </w:t>
      </w:r>
      <w:r w:rsidR="00792A2C">
        <w:t xml:space="preserve">where </w:t>
      </w:r>
      <w:r>
        <w:t>no examination took place.</w:t>
      </w:r>
    </w:p>
    <w:p w14:paraId="6A9774DF" w14:textId="3C022360" w:rsidR="00B06431" w:rsidRDefault="006C04B7" w:rsidP="00152F43">
      <w:pPr>
        <w:pStyle w:val="Considrant"/>
        <w:numPr>
          <w:ilvl w:val="0"/>
          <w:numId w:val="1"/>
        </w:numPr>
      </w:pPr>
      <w:r>
        <w:t xml:space="preserve">Point 3 of Chapter I of Section VII of </w:t>
      </w:r>
      <w:r w:rsidR="00B06431" w:rsidRPr="004131BD">
        <w:t>Annex III to Regulation (EC) No 853/2004</w:t>
      </w:r>
      <w:r w:rsidR="00B06431">
        <w:t>,</w:t>
      </w:r>
      <w:r>
        <w:t xml:space="preserve"> provides that </w:t>
      </w:r>
      <w:r w:rsidRPr="006C04B7">
        <w:t xml:space="preserve">whenever a food business operator moves a batch of live bivalve molluscs between </w:t>
      </w:r>
      <w:r w:rsidR="00335D39">
        <w:t>establishments</w:t>
      </w:r>
      <w:r w:rsidRPr="006C04B7">
        <w:t>, the batch is required to be accompanied by a registration document.</w:t>
      </w:r>
      <w:r w:rsidR="00B06431">
        <w:t xml:space="preserve"> </w:t>
      </w:r>
      <w:r>
        <w:t xml:space="preserve">In order to harmonise the information </w:t>
      </w:r>
      <w:r w:rsidR="00F026A6">
        <w:t>required by</w:t>
      </w:r>
      <w:r>
        <w:t xml:space="preserve"> point 4 of Chapter I of Section VII of Annex III to </w:t>
      </w:r>
      <w:r w:rsidRPr="006C04B7">
        <w:t>Regulation (EC) No 853/2004</w:t>
      </w:r>
      <w:r>
        <w:t xml:space="preserve">, </w:t>
      </w:r>
      <w:r w:rsidR="00B06431">
        <w:t xml:space="preserve">a common model </w:t>
      </w:r>
      <w:r>
        <w:t xml:space="preserve">of </w:t>
      </w:r>
      <w:r w:rsidR="00B06431">
        <w:t xml:space="preserve">the registration document </w:t>
      </w:r>
      <w:r w:rsidR="00335D39">
        <w:t xml:space="preserve">for the movement of live bivalve molluscs between establishments </w:t>
      </w:r>
      <w:r w:rsidR="004F09A2">
        <w:t>should be</w:t>
      </w:r>
      <w:r w:rsidR="00B06431">
        <w:t xml:space="preserve"> established. </w:t>
      </w:r>
      <w:r>
        <w:t>Moreover it is a common practice that batches of</w:t>
      </w:r>
      <w:r w:rsidR="00B06431">
        <w:t xml:space="preserve"> bivalve molluscs may also be sent to intermediate operators, therefore the registration document should also include this possibility.</w:t>
      </w:r>
    </w:p>
    <w:p w14:paraId="1E125D4C" w14:textId="1951B700" w:rsidR="001903F8" w:rsidRDefault="00B06431" w:rsidP="006C04B7">
      <w:pPr>
        <w:pStyle w:val="Considrant"/>
      </w:pPr>
      <w:r w:rsidRPr="00B06431">
        <w:t xml:space="preserve">Live bivalve molluscs placed on the market </w:t>
      </w:r>
      <w:r w:rsidR="006C04B7">
        <w:t>may</w:t>
      </w:r>
      <w:r w:rsidRPr="00B06431">
        <w:t xml:space="preserve"> not contain marine biotoxins that exceed the limits </w:t>
      </w:r>
      <w:r w:rsidR="006C04B7" w:rsidRPr="006C04B7">
        <w:t xml:space="preserve">set out in point 2 of Chapter V of </w:t>
      </w:r>
      <w:r w:rsidRPr="00B06431">
        <w:t xml:space="preserve">Section VII of Annex III to Regulation (EC) No 853/2004. </w:t>
      </w:r>
      <w:r w:rsidR="00F026A6">
        <w:t xml:space="preserve">The </w:t>
      </w:r>
      <w:r w:rsidRPr="00B06431">
        <w:t>EFSA has concluded</w:t>
      </w:r>
      <w:r w:rsidR="006C04B7">
        <w:t xml:space="preserve"> in its Opinion on </w:t>
      </w:r>
      <w:r w:rsidR="006C04B7" w:rsidRPr="006C04B7">
        <w:t>Marine biotoxins in shellfish – Pectenotoxin group</w:t>
      </w:r>
      <w:r w:rsidRPr="00EF6925">
        <w:rPr>
          <w:rStyle w:val="FootnoteReference"/>
        </w:rPr>
        <w:footnoteReference w:id="9"/>
      </w:r>
      <w:r w:rsidRPr="00B06431">
        <w:t xml:space="preserve"> that there are no reports o</w:t>
      </w:r>
      <w:r w:rsidR="00F026A6">
        <w:t>f</w:t>
      </w:r>
      <w:r w:rsidRPr="00B06431">
        <w:t xml:space="preserve"> adverse effects in humans associated with Pectenotoxins (PTX) group toxins. In addition, PTX in shellfish are always accompanied by toxins from the Okadaic acid group. It is therefore </w:t>
      </w:r>
      <w:r w:rsidR="00F026A6">
        <w:t>appropriate to delete the reference to</w:t>
      </w:r>
      <w:r w:rsidRPr="00B06431">
        <w:t xml:space="preserve"> PTX from </w:t>
      </w:r>
      <w:r w:rsidR="00236371">
        <w:t xml:space="preserve">point 4(c) of Chapter V </w:t>
      </w:r>
      <w:r w:rsidR="00236371" w:rsidRPr="00236371">
        <w:t>of Section VII of Annex III to Regulation (EC) No 853/2004</w:t>
      </w:r>
      <w:r w:rsidR="00236371">
        <w:t>.</w:t>
      </w:r>
    </w:p>
    <w:p w14:paraId="4A4A6E4B" w14:textId="3AED2D2C" w:rsidR="00B76127" w:rsidRDefault="00E3556B" w:rsidP="00F026A6">
      <w:pPr>
        <w:pStyle w:val="Considrant"/>
      </w:pPr>
      <w:r>
        <w:t xml:space="preserve">Article 11 </w:t>
      </w:r>
      <w:r w:rsidR="00824057">
        <w:t xml:space="preserve">of Delegated Regulation 2019/624 </w:t>
      </w:r>
      <w:r w:rsidR="00236371">
        <w:t>provides</w:t>
      </w:r>
      <w:r w:rsidR="00257E1E">
        <w:t xml:space="preserve"> that the classification of production and relaying areas is not required in relation to the harvesting of </w:t>
      </w:r>
      <w:r w:rsidR="00F026A6">
        <w:t>h</w:t>
      </w:r>
      <w:r w:rsidR="00257E1E">
        <w:t>olothuroidea</w:t>
      </w:r>
      <w:r w:rsidR="00B06431">
        <w:t xml:space="preserve"> </w:t>
      </w:r>
      <w:r w:rsidR="00B06431" w:rsidRPr="00B06431">
        <w:t xml:space="preserve">when the competent authorities carry out official controls on such animals in fish auctions, dispatch centres and processing establishments. </w:t>
      </w:r>
      <w:r w:rsidR="006E789E" w:rsidRPr="00B06431">
        <w:t>Chapter IX</w:t>
      </w:r>
      <w:r w:rsidR="006E789E">
        <w:t xml:space="preserve"> of </w:t>
      </w:r>
      <w:r w:rsidR="00B06431" w:rsidRPr="00B06431">
        <w:t xml:space="preserve">Section VII of Annex III to Regulation (EC) No 853/2004 should be amended </w:t>
      </w:r>
      <w:r w:rsidR="00F026A6">
        <w:t>in order to allow the harvesting of Holothuroidea outside classified</w:t>
      </w:r>
      <w:r w:rsidR="00F026A6" w:rsidRPr="00F026A6">
        <w:t xml:space="preserve"> production and relaying areas</w:t>
      </w:r>
      <w:r w:rsidR="00F026A6">
        <w:t>.</w:t>
      </w:r>
      <w:r w:rsidR="00236371">
        <w:t xml:space="preserve"> </w:t>
      </w:r>
    </w:p>
    <w:p w14:paraId="6710F9DA" w14:textId="37EAC49B" w:rsidR="00D01ADA" w:rsidRDefault="00257E1E" w:rsidP="00B76127">
      <w:pPr>
        <w:pStyle w:val="Considrant"/>
      </w:pPr>
      <w:r>
        <w:t>Vessels</w:t>
      </w:r>
      <w:r w:rsidRPr="00257E1E">
        <w:t xml:space="preserve"> </w:t>
      </w:r>
      <w:r w:rsidR="00724A16">
        <w:t>should</w:t>
      </w:r>
      <w:r w:rsidR="00D64F72" w:rsidRPr="00257E1E">
        <w:t xml:space="preserve"> </w:t>
      </w:r>
      <w:r w:rsidRPr="00257E1E">
        <w:t xml:space="preserve">be designed and constructed so as not to cause contamination of </w:t>
      </w:r>
      <w:r w:rsidR="00D6416F">
        <w:t xml:space="preserve">fishery </w:t>
      </w:r>
      <w:r w:rsidRPr="00257E1E">
        <w:t xml:space="preserve">products with bilge-water, sewage, smoke, fuel, oil, grease or other objectionable substances. </w:t>
      </w:r>
      <w:r>
        <w:t>Also h</w:t>
      </w:r>
      <w:r w:rsidRPr="00257E1E">
        <w:t>olds, tanks or containers used for storing, cooling or freez</w:t>
      </w:r>
      <w:r>
        <w:t xml:space="preserve">ing fishery products </w:t>
      </w:r>
      <w:r w:rsidR="00724A16">
        <w:t xml:space="preserve">should </w:t>
      </w:r>
      <w:r>
        <w:t xml:space="preserve">not be </w:t>
      </w:r>
      <w:r w:rsidRPr="00257E1E">
        <w:t xml:space="preserve">used for other purposes than </w:t>
      </w:r>
      <w:r w:rsidR="00F026A6">
        <w:t xml:space="preserve">the </w:t>
      </w:r>
      <w:r w:rsidRPr="00257E1E">
        <w:t>storage of fishery products</w:t>
      </w:r>
      <w:r w:rsidR="00D64F72">
        <w:t xml:space="preserve">. </w:t>
      </w:r>
      <w:r>
        <w:t xml:space="preserve">Freezer vessels and reefer vessels should be equipped with freezing equipment fit for purpose and storage holds should not be used for freezing products. The same requirements </w:t>
      </w:r>
      <w:r w:rsidR="00444495">
        <w:t xml:space="preserve">for freezing and storage equipment </w:t>
      </w:r>
      <w:r>
        <w:t>sh</w:t>
      </w:r>
      <w:r w:rsidR="00D64F72">
        <w:t>ould</w:t>
      </w:r>
      <w:r>
        <w:t xml:space="preserve"> </w:t>
      </w:r>
      <w:r w:rsidR="00444495">
        <w:t xml:space="preserve">also </w:t>
      </w:r>
      <w:r w:rsidR="006238D4">
        <w:t>apply</w:t>
      </w:r>
      <w:r>
        <w:t xml:space="preserve"> to cold stores on land.</w:t>
      </w:r>
      <w:r w:rsidR="00C01899">
        <w:t xml:space="preserve"> </w:t>
      </w:r>
      <w:r w:rsidR="00F026A6">
        <w:t xml:space="preserve">Part I of </w:t>
      </w:r>
      <w:r w:rsidR="006E789E">
        <w:t xml:space="preserve">Chapter I </w:t>
      </w:r>
      <w:r w:rsidR="002D1E15">
        <w:t xml:space="preserve">and </w:t>
      </w:r>
      <w:r w:rsidR="00F026A6">
        <w:t xml:space="preserve">part B of </w:t>
      </w:r>
      <w:r w:rsidR="002D1E15">
        <w:t xml:space="preserve">Chapter III </w:t>
      </w:r>
      <w:r w:rsidR="006E789E">
        <w:t xml:space="preserve">of Section VIII of Annex III </w:t>
      </w:r>
      <w:r w:rsidR="006E789E" w:rsidRPr="006E789E">
        <w:t>to Regulation (EC) No 853/2004</w:t>
      </w:r>
      <w:r w:rsidR="006E789E">
        <w:t xml:space="preserve"> should </w:t>
      </w:r>
      <w:r w:rsidR="00F026A6">
        <w:t xml:space="preserve">therefore </w:t>
      </w:r>
      <w:r w:rsidR="006E789E">
        <w:t>be amended</w:t>
      </w:r>
      <w:r w:rsidR="00444495">
        <w:t xml:space="preserve"> accordingly.</w:t>
      </w:r>
    </w:p>
    <w:p w14:paraId="17BCBBA5" w14:textId="48085ECC" w:rsidR="00321419" w:rsidRDefault="00D01ADA" w:rsidP="00444495">
      <w:pPr>
        <w:pStyle w:val="Considrant"/>
      </w:pPr>
      <w:r>
        <w:t xml:space="preserve">Following recent frauds </w:t>
      </w:r>
      <w:r w:rsidR="00F026A6">
        <w:t>concerning</w:t>
      </w:r>
      <w:r>
        <w:t xml:space="preserve"> tuna initially frozen in brine </w:t>
      </w:r>
      <w:r w:rsidR="00A955D4">
        <w:t xml:space="preserve">at -9°C </w:t>
      </w:r>
      <w:r>
        <w:t xml:space="preserve">and destined </w:t>
      </w:r>
      <w:r w:rsidR="00481A73">
        <w:t>for the</w:t>
      </w:r>
      <w:r>
        <w:t xml:space="preserve"> canning industry but diverted to be consumed as fresh</w:t>
      </w:r>
      <w:r w:rsidR="00481A73">
        <w:t xml:space="preserve"> </w:t>
      </w:r>
      <w:r w:rsidR="00444495" w:rsidRPr="004F09A2">
        <w:t>fishery</w:t>
      </w:r>
      <w:r w:rsidR="00444495">
        <w:t xml:space="preserve"> </w:t>
      </w:r>
      <w:r w:rsidR="00481A73">
        <w:t>products</w:t>
      </w:r>
      <w:r>
        <w:t>, i</w:t>
      </w:r>
      <w:r w:rsidR="00C01899">
        <w:t>t is appropriate to clarify</w:t>
      </w:r>
      <w:r w:rsidR="00444495">
        <w:t xml:space="preserve"> in</w:t>
      </w:r>
      <w:r w:rsidR="00444495" w:rsidRPr="00444495">
        <w:t xml:space="preserve"> </w:t>
      </w:r>
      <w:r w:rsidR="00444495">
        <w:t>p</w:t>
      </w:r>
      <w:r w:rsidR="00444495" w:rsidRPr="00444495">
        <w:t xml:space="preserve">oint 7 of </w:t>
      </w:r>
      <w:r w:rsidR="00F026A6" w:rsidRPr="00444495">
        <w:t xml:space="preserve">Part II </w:t>
      </w:r>
      <w:r w:rsidR="00F026A6">
        <w:t xml:space="preserve">of </w:t>
      </w:r>
      <w:r w:rsidR="00444495" w:rsidRPr="00444495">
        <w:t xml:space="preserve">Chapter I of Section VIII of Annex III to Regulation (EC) No 853/2004 </w:t>
      </w:r>
      <w:r w:rsidR="00C01899">
        <w:t>that whole fishery products initially frozen in brine</w:t>
      </w:r>
      <w:r w:rsidR="00A955D4">
        <w:t xml:space="preserve"> at -9°C</w:t>
      </w:r>
      <w:r w:rsidR="00C01899">
        <w:t xml:space="preserve"> and destined </w:t>
      </w:r>
      <w:r w:rsidR="00481A73">
        <w:t xml:space="preserve">for </w:t>
      </w:r>
      <w:r w:rsidR="00C01899">
        <w:t xml:space="preserve">the canning industry even if further frozen at a temperature of -18°C </w:t>
      </w:r>
      <w:r w:rsidR="00F026A6">
        <w:t xml:space="preserve">must not </w:t>
      </w:r>
      <w:r w:rsidR="00C01899">
        <w:t xml:space="preserve"> have a different destination than the canning industry</w:t>
      </w:r>
      <w:r>
        <w:t>.</w:t>
      </w:r>
      <w:r w:rsidR="006E789E">
        <w:t xml:space="preserve"> </w:t>
      </w:r>
    </w:p>
    <w:p w14:paraId="79945942" w14:textId="01311CD1" w:rsidR="002B368D" w:rsidRPr="002B368D" w:rsidRDefault="002B368D" w:rsidP="009C335C">
      <w:pPr>
        <w:pStyle w:val="Considrant"/>
      </w:pPr>
      <w:r w:rsidRPr="002B368D">
        <w:t xml:space="preserve">Livers and roes of fishery products </w:t>
      </w:r>
      <w:r w:rsidRPr="00826441">
        <w:t xml:space="preserve">intended for human consumption </w:t>
      </w:r>
      <w:r w:rsidR="00826441" w:rsidRPr="00FD619C">
        <w:t>are to</w:t>
      </w:r>
      <w:r w:rsidR="00826441" w:rsidRPr="00826441">
        <w:t xml:space="preserve"> </w:t>
      </w:r>
      <w:r w:rsidRPr="00826441">
        <w:t>be preserved under ice</w:t>
      </w:r>
      <w:r w:rsidRPr="002B368D">
        <w:t xml:space="preserve">, at a temperature approaching that of melting ice, or </w:t>
      </w:r>
      <w:r w:rsidR="00826441">
        <w:t xml:space="preserve">are to </w:t>
      </w:r>
      <w:r w:rsidRPr="002B368D">
        <w:t xml:space="preserve">be frozen. It is appropriate </w:t>
      </w:r>
      <w:r w:rsidR="00826441">
        <w:t xml:space="preserve">to allow </w:t>
      </w:r>
      <w:r w:rsidRPr="002B368D">
        <w:t xml:space="preserve">that livers and roes be </w:t>
      </w:r>
      <w:r w:rsidR="00826441">
        <w:t xml:space="preserve">also </w:t>
      </w:r>
      <w:r w:rsidRPr="002B368D">
        <w:t xml:space="preserve">refrigerated </w:t>
      </w:r>
      <w:r w:rsidR="00F026A6">
        <w:t>under</w:t>
      </w:r>
      <w:r w:rsidRPr="002B368D">
        <w:t xml:space="preserve"> different conditions</w:t>
      </w:r>
      <w:r w:rsidR="00826441">
        <w:t xml:space="preserve"> than under ice, </w:t>
      </w:r>
      <w:r w:rsidR="005C2D10">
        <w:t>at a</w:t>
      </w:r>
      <w:r w:rsidR="009C335C">
        <w:t xml:space="preserve"> </w:t>
      </w:r>
      <w:r w:rsidR="009C335C" w:rsidRPr="009C335C">
        <w:t>temperature approaching that of melting ice</w:t>
      </w:r>
      <w:r w:rsidRPr="002B368D">
        <w:t>.</w:t>
      </w:r>
      <w:r w:rsidR="006E789E">
        <w:t xml:space="preserve"> </w:t>
      </w:r>
      <w:r w:rsidR="00F026A6">
        <w:t>Accordingly, p</w:t>
      </w:r>
      <w:r w:rsidR="006E789E">
        <w:t xml:space="preserve">oint 6 of </w:t>
      </w:r>
      <w:r w:rsidR="00F026A6" w:rsidRPr="006E789E">
        <w:t>Part I</w:t>
      </w:r>
      <w:r w:rsidR="00F026A6">
        <w:t>I</w:t>
      </w:r>
      <w:r w:rsidR="00F026A6" w:rsidRPr="006E789E">
        <w:t xml:space="preserve"> </w:t>
      </w:r>
      <w:r w:rsidR="00F026A6">
        <w:t xml:space="preserve">of </w:t>
      </w:r>
      <w:r w:rsidR="006E789E" w:rsidRPr="006E789E">
        <w:t xml:space="preserve">Chapter I of Section VIII of Annex III to Regulation (EC) No 853/2004 should be amended in order to </w:t>
      </w:r>
      <w:r w:rsidR="006E789E">
        <w:t>allow that l</w:t>
      </w:r>
      <w:r w:rsidR="006E789E" w:rsidRPr="006E789E">
        <w:t xml:space="preserve">ivers and roes of fishery products intended for human consumption </w:t>
      </w:r>
      <w:r w:rsidR="00F026A6">
        <w:t>may</w:t>
      </w:r>
      <w:r w:rsidR="00F026A6" w:rsidRPr="006E789E">
        <w:t xml:space="preserve"> </w:t>
      </w:r>
      <w:r w:rsidR="006E789E" w:rsidRPr="006E789E">
        <w:t xml:space="preserve">also be refrigerated not only under ice but </w:t>
      </w:r>
      <w:r w:rsidR="00F026A6">
        <w:t>under</w:t>
      </w:r>
      <w:r w:rsidR="006E789E" w:rsidRPr="006E789E">
        <w:t xml:space="preserve"> different conditions of refrigeration</w:t>
      </w:r>
      <w:r w:rsidR="006E789E">
        <w:t>.</w:t>
      </w:r>
    </w:p>
    <w:p w14:paraId="4B314252" w14:textId="239F9E5A" w:rsidR="002B368D" w:rsidRPr="002B368D" w:rsidRDefault="002B368D" w:rsidP="00EF6925">
      <w:pPr>
        <w:pStyle w:val="Considrant"/>
      </w:pPr>
      <w:r w:rsidRPr="002B368D">
        <w:t xml:space="preserve">It is appropriate that </w:t>
      </w:r>
      <w:r w:rsidR="00911A20">
        <w:t>in</w:t>
      </w:r>
      <w:r w:rsidRPr="002B368D">
        <w:t xml:space="preserve"> containers used for the dispatch or storage of unpackaged prepared fresh fishery products stored under ice</w:t>
      </w:r>
      <w:r w:rsidR="00481A73">
        <w:t>,</w:t>
      </w:r>
      <w:r w:rsidR="00911A20">
        <w:t xml:space="preserve"> the</w:t>
      </w:r>
      <w:r w:rsidRPr="002B368D">
        <w:t xml:space="preserve"> melting water </w:t>
      </w:r>
      <w:r w:rsidR="00724A16">
        <w:t xml:space="preserve">should </w:t>
      </w:r>
      <w:r w:rsidRPr="002B368D">
        <w:t>not remain in contact with any</w:t>
      </w:r>
      <w:r w:rsidR="00481A73">
        <w:t xml:space="preserve"> fishery</w:t>
      </w:r>
      <w:r w:rsidRPr="002B368D">
        <w:t xml:space="preserve"> products. It is important, for hygiene reasons, to clarify that melt water not only </w:t>
      </w:r>
      <w:r w:rsidR="006238D4">
        <w:t>should not</w:t>
      </w:r>
      <w:r w:rsidRPr="002B368D">
        <w:t xml:space="preserve"> remain in contact with fishery products but </w:t>
      </w:r>
      <w:r w:rsidR="006238D4">
        <w:t>should</w:t>
      </w:r>
      <w:r w:rsidRPr="002B368D">
        <w:t xml:space="preserve"> be drained away</w:t>
      </w:r>
      <w:r w:rsidR="006238D4">
        <w:t>.</w:t>
      </w:r>
      <w:r w:rsidR="002D1E15">
        <w:t xml:space="preserve"> </w:t>
      </w:r>
      <w:r w:rsidR="00911A20">
        <w:t>Accordingly, p</w:t>
      </w:r>
      <w:r w:rsidR="002D1E15">
        <w:t xml:space="preserve">oint 4 of part A of Chapter III of </w:t>
      </w:r>
      <w:r w:rsidR="002D1E15" w:rsidRPr="002D1E15">
        <w:t>Section VIII of Annex III to Regulation (EC) No 853/2004 should be amended</w:t>
      </w:r>
      <w:r w:rsidR="002D1E15">
        <w:t xml:space="preserve"> in order to clarify that </w:t>
      </w:r>
      <w:r w:rsidR="002D1E15" w:rsidRPr="002D1E15">
        <w:t>melt</w:t>
      </w:r>
      <w:r w:rsidR="00444495">
        <w:t>ed</w:t>
      </w:r>
      <w:r w:rsidR="002D1E15" w:rsidRPr="002D1E15">
        <w:t xml:space="preserve"> water not only should not remain in contact with fishery products but should be drained away</w:t>
      </w:r>
    </w:p>
    <w:p w14:paraId="2852FBA8" w14:textId="3D8A9A4B" w:rsidR="00116CEB" w:rsidRDefault="00D47C85" w:rsidP="00CF43DB">
      <w:pPr>
        <w:pStyle w:val="Considrant"/>
      </w:pPr>
      <w:r>
        <w:t xml:space="preserve">Specific hygiene rules </w:t>
      </w:r>
      <w:r w:rsidR="00CF43DB" w:rsidRPr="00CF43DB">
        <w:t xml:space="preserve">on frogs’ legs laid down </w:t>
      </w:r>
      <w:r>
        <w:t xml:space="preserve">in </w:t>
      </w:r>
      <w:r w:rsidR="00116CEB">
        <w:t xml:space="preserve">Section XI of </w:t>
      </w:r>
      <w:r>
        <w:t xml:space="preserve">Annex III </w:t>
      </w:r>
      <w:r w:rsidR="00116CEB">
        <w:t>to</w:t>
      </w:r>
      <w:r>
        <w:t xml:space="preserve"> Regulation (EC) No 853/2004 </w:t>
      </w:r>
      <w:r w:rsidR="00CF43DB">
        <w:t>only apply</w:t>
      </w:r>
      <w:r w:rsidR="00A73070">
        <w:t xml:space="preserve"> to frogs' legs </w:t>
      </w:r>
      <w:r>
        <w:t>of the species RNA</w:t>
      </w:r>
      <w:r w:rsidR="00A73070">
        <w:t xml:space="preserve"> (family Ranidae</w:t>
      </w:r>
      <w:r w:rsidR="00CF43DB">
        <w:t xml:space="preserve">) in accordance with the definition of frogs’ legs laid down in point 6.1 of Annex I to </w:t>
      </w:r>
      <w:r w:rsidR="00792A2C">
        <w:t xml:space="preserve">that </w:t>
      </w:r>
      <w:r w:rsidR="00CF43DB">
        <w:t xml:space="preserve">Regulation. </w:t>
      </w:r>
      <w:r w:rsidR="00A73070">
        <w:t xml:space="preserve">Specific hygiene rules </w:t>
      </w:r>
      <w:r w:rsidR="00116CEB">
        <w:t>for snails in that Section</w:t>
      </w:r>
      <w:r w:rsidR="00A73070">
        <w:t xml:space="preserve"> </w:t>
      </w:r>
      <w:r w:rsidR="00CF43DB">
        <w:t xml:space="preserve">only apply </w:t>
      </w:r>
      <w:r w:rsidR="00A73070">
        <w:t xml:space="preserve">to </w:t>
      </w:r>
      <w:r>
        <w:t xml:space="preserve">terrestrial gastropods of the species </w:t>
      </w:r>
      <w:r w:rsidRPr="00116CEB">
        <w:rPr>
          <w:i/>
        </w:rPr>
        <w:t>Helix pomatia</w:t>
      </w:r>
      <w:r w:rsidR="0009376C">
        <w:rPr>
          <w:i/>
        </w:rPr>
        <w:t xml:space="preserve"> </w:t>
      </w:r>
      <w:r w:rsidRPr="00116CEB">
        <w:rPr>
          <w:i/>
        </w:rPr>
        <w:t>Linné</w:t>
      </w:r>
      <w:r>
        <w:t>,</w:t>
      </w:r>
      <w:r w:rsidR="00A73070">
        <w:t xml:space="preserve"> </w:t>
      </w:r>
      <w:r w:rsidRPr="00116CEB">
        <w:rPr>
          <w:i/>
        </w:rPr>
        <w:t>Helix aspersa</w:t>
      </w:r>
      <w:r w:rsidR="0009376C">
        <w:rPr>
          <w:i/>
        </w:rPr>
        <w:t xml:space="preserve"> </w:t>
      </w:r>
      <w:r w:rsidRPr="00116CEB">
        <w:rPr>
          <w:i/>
        </w:rPr>
        <w:t>Muller</w:t>
      </w:r>
      <w:r>
        <w:t xml:space="preserve">, </w:t>
      </w:r>
      <w:r w:rsidRPr="00116CEB">
        <w:rPr>
          <w:i/>
        </w:rPr>
        <w:t>Helix lucorum</w:t>
      </w:r>
      <w:r>
        <w:t xml:space="preserve"> and species of the family</w:t>
      </w:r>
      <w:r w:rsidR="00A73070">
        <w:t xml:space="preserve"> </w:t>
      </w:r>
      <w:r>
        <w:t>Achatinidae</w:t>
      </w:r>
      <w:r w:rsidR="00CF43DB" w:rsidRPr="00CF43DB">
        <w:t xml:space="preserve"> in accordance with the definition of </w:t>
      </w:r>
      <w:r w:rsidR="00CF43DB">
        <w:t xml:space="preserve">snails </w:t>
      </w:r>
      <w:r w:rsidR="00CF43DB" w:rsidRPr="00CF43DB">
        <w:t>laid down in point 6.</w:t>
      </w:r>
      <w:r w:rsidR="00CF43DB">
        <w:t>2</w:t>
      </w:r>
      <w:r w:rsidR="00CF43DB" w:rsidRPr="00CF43DB">
        <w:t xml:space="preserve"> of Annex I to Regulation (EC) No 853/2004</w:t>
      </w:r>
      <w:r>
        <w:t>.</w:t>
      </w:r>
      <w:r w:rsidR="00A73070">
        <w:t xml:space="preserve"> Due to changes </w:t>
      </w:r>
      <w:r w:rsidR="00724A16">
        <w:t xml:space="preserve">in </w:t>
      </w:r>
      <w:r w:rsidR="00A73070">
        <w:t xml:space="preserve">eating habits, frogs' legs and snails of other species are also produced and placed on the market for human consumption. The specific hygiene rules should </w:t>
      </w:r>
      <w:r w:rsidR="00D64F72">
        <w:t xml:space="preserve">therefore </w:t>
      </w:r>
      <w:r w:rsidR="00A73070">
        <w:t xml:space="preserve">be extended to </w:t>
      </w:r>
      <w:r w:rsidR="00CF43DB">
        <w:t xml:space="preserve">cover </w:t>
      </w:r>
      <w:r w:rsidR="00A73070">
        <w:t>th</w:t>
      </w:r>
      <w:r w:rsidR="00CF43DB">
        <w:t>o</w:t>
      </w:r>
      <w:r w:rsidR="00A73070">
        <w:t>se species to ensure the safety of food derived from these species.</w:t>
      </w:r>
      <w:r w:rsidR="00116CEB" w:rsidDel="00116CEB">
        <w:t xml:space="preserve"> </w:t>
      </w:r>
    </w:p>
    <w:p w14:paraId="1A66387F" w14:textId="1077B169" w:rsidR="00116CEB" w:rsidRPr="007A4B38" w:rsidRDefault="00D64F72" w:rsidP="00EA757D">
      <w:pPr>
        <w:pStyle w:val="Considrant"/>
      </w:pPr>
      <w:r>
        <w:t>Section XII of Annex III to Regulation (EC) No 853/2004 lays down s</w:t>
      </w:r>
      <w:r w:rsidR="00116CEB">
        <w:t>pecific temperature requirements for the storage of greaves intended for human consumption</w:t>
      </w:r>
      <w:r w:rsidR="0020230E">
        <w:t>.</w:t>
      </w:r>
      <w:r w:rsidR="00116CEB">
        <w:t xml:space="preserve"> </w:t>
      </w:r>
      <w:r w:rsidR="00EA757D">
        <w:t xml:space="preserve"> </w:t>
      </w:r>
      <w:r w:rsidR="00CF43DB">
        <w:t xml:space="preserve">Technological developments have </w:t>
      </w:r>
      <w:r w:rsidR="0020230E">
        <w:t xml:space="preserve">allowed certain packaging techniques, </w:t>
      </w:r>
      <w:r w:rsidR="00CF43DB">
        <w:t>such as</w:t>
      </w:r>
      <w:r w:rsidR="0020230E">
        <w:t xml:space="preserve"> vacuum-packaging </w:t>
      </w:r>
      <w:r w:rsidR="00CF43DB">
        <w:t>for which the specific temperature requirements are not needed to ensure the safety of food derived from greaves</w:t>
      </w:r>
      <w:r w:rsidR="00EA757D">
        <w:t xml:space="preserve">. </w:t>
      </w:r>
      <w:r w:rsidR="00CF43DB">
        <w:t xml:space="preserve">Those </w:t>
      </w:r>
      <w:r w:rsidR="00EA757D">
        <w:t xml:space="preserve">temperature conditions should therefore be deleted while the food business operator </w:t>
      </w:r>
      <w:r w:rsidR="00724A16">
        <w:t>should</w:t>
      </w:r>
      <w:r w:rsidR="0020230E">
        <w:t xml:space="preserve"> </w:t>
      </w:r>
      <w:r w:rsidR="00EA757D">
        <w:t>ensure the safety of food derived from the greaves by good hygiene practices and procedures base</w:t>
      </w:r>
      <w:r w:rsidR="009E5D1D">
        <w:t>d</w:t>
      </w:r>
      <w:r w:rsidR="00EA757D">
        <w:t xml:space="preserve"> on Hazard Analysis and Critical Control Point (HACCP) principles in accordance with </w:t>
      </w:r>
      <w:r w:rsidR="00CF43DB">
        <w:t xml:space="preserve">Article 5 of </w:t>
      </w:r>
      <w:r w:rsidR="00EA757D" w:rsidRPr="007A4B38">
        <w:t>Regulation (EC) No 852/2004 of the European Parliament and of the Council</w:t>
      </w:r>
      <w:r w:rsidR="00EA757D" w:rsidRPr="007A4B38">
        <w:rPr>
          <w:rStyle w:val="FootnoteReference"/>
        </w:rPr>
        <w:footnoteReference w:id="10"/>
      </w:r>
      <w:r w:rsidR="00EA757D" w:rsidRPr="007A4B38">
        <w:t xml:space="preserve">.  </w:t>
      </w:r>
    </w:p>
    <w:p w14:paraId="5F5F863B" w14:textId="470417F1" w:rsidR="00792A2C" w:rsidRDefault="00EB1BAB" w:rsidP="00EB1BAB">
      <w:pPr>
        <w:pStyle w:val="Considrant"/>
      </w:pPr>
      <w:r w:rsidRPr="007A4B38">
        <w:t xml:space="preserve">Since </w:t>
      </w:r>
      <w:r w:rsidR="00D564F8">
        <w:t>Implementing Regulation [C(2020)8100]</w:t>
      </w:r>
      <w:r w:rsidR="00C52CFA">
        <w:t>,</w:t>
      </w:r>
      <w:r w:rsidR="00D564F8">
        <w:t xml:space="preserve"> containing the</w:t>
      </w:r>
      <w:r w:rsidR="00C52CFA">
        <w:t xml:space="preserve"> model</w:t>
      </w:r>
      <w:r w:rsidR="00D564F8">
        <w:t xml:space="preserve"> official certificate </w:t>
      </w:r>
      <w:r w:rsidR="00C52CFA">
        <w:t xml:space="preserve">which is to </w:t>
      </w:r>
      <w:r w:rsidR="00D564F8">
        <w:t xml:space="preserve">accompany </w:t>
      </w:r>
      <w:r w:rsidRPr="007A4B38">
        <w:t>t</w:t>
      </w:r>
      <w:r w:rsidR="00D564F8">
        <w:t>he</w:t>
      </w:r>
      <w:r w:rsidRPr="007A4B38">
        <w:t xml:space="preserve"> </w:t>
      </w:r>
      <w:r w:rsidR="00D564F8">
        <w:t xml:space="preserve">domestic </w:t>
      </w:r>
      <w:r w:rsidRPr="007A4B38">
        <w:t>bovine animals</w:t>
      </w:r>
      <w:r w:rsidR="00792A2C">
        <w:t xml:space="preserve"> and </w:t>
      </w:r>
      <w:r w:rsidR="003B4112">
        <w:t xml:space="preserve">domestic </w:t>
      </w:r>
      <w:r w:rsidR="00792A2C">
        <w:t>solipeds</w:t>
      </w:r>
      <w:r w:rsidRPr="007A4B38">
        <w:t xml:space="preserve"> </w:t>
      </w:r>
      <w:r w:rsidR="00D564F8">
        <w:t xml:space="preserve">slaughtered </w:t>
      </w:r>
      <w:r w:rsidRPr="007A4B38">
        <w:t>on the holding of provenance</w:t>
      </w:r>
      <w:r w:rsidR="00D564F8">
        <w:t xml:space="preserve">, </w:t>
      </w:r>
      <w:r w:rsidRPr="007A4B38">
        <w:t xml:space="preserve">will only apply from 21 April 2021, criteria and conditions for ante-mortem inspection on the holding of provenance </w:t>
      </w:r>
      <w:r w:rsidR="00D564F8">
        <w:t>of such animals in Section I to Annex III of Regulation (EC) No 853/2004,</w:t>
      </w:r>
      <w:r w:rsidR="005068A5">
        <w:t xml:space="preserve"> as amended by this Regulat</w:t>
      </w:r>
      <w:r w:rsidR="00792A2C">
        <w:t>ion,</w:t>
      </w:r>
      <w:r w:rsidR="00D564F8">
        <w:t xml:space="preserve"> </w:t>
      </w:r>
      <w:r w:rsidR="005068A5">
        <w:t xml:space="preserve">as well as requirements on certificates referred to in Implementing Regulation [C(2020)8100), </w:t>
      </w:r>
      <w:r w:rsidRPr="007A4B38">
        <w:t>should</w:t>
      </w:r>
      <w:r w:rsidR="00792A2C">
        <w:t xml:space="preserve"> also</w:t>
      </w:r>
      <w:r w:rsidRPr="007A4B38">
        <w:t xml:space="preserve"> only apply from that date</w:t>
      </w:r>
      <w:r w:rsidR="00792A2C">
        <w:t>.</w:t>
      </w:r>
    </w:p>
    <w:p w14:paraId="2E841855" w14:textId="03174FC5" w:rsidR="00EB1BAB" w:rsidRPr="007A4B38" w:rsidRDefault="00792A2C" w:rsidP="00792A2C">
      <w:pPr>
        <w:pStyle w:val="Considrant"/>
      </w:pPr>
      <w:r w:rsidRPr="00792A2C">
        <w:t>Annex III to Regulation (EC) No 853/2004 should therefore be amended accordingly,</w:t>
      </w:r>
      <w:r w:rsidR="00D564F8" w:rsidRPr="007A4B38">
        <w:t xml:space="preserve">  </w:t>
      </w:r>
    </w:p>
    <w:p w14:paraId="75419B3A" w14:textId="0B8830E7" w:rsidR="00344FE6" w:rsidRPr="00937BA9" w:rsidRDefault="00344FE6" w:rsidP="00BA3710">
      <w:pPr>
        <w:pStyle w:val="Formuledadoption"/>
      </w:pPr>
      <w:r w:rsidRPr="00937BA9">
        <w:t>HAS ADOPTED THIS REGULATION:</w:t>
      </w:r>
    </w:p>
    <w:p w14:paraId="70ECFBB3" w14:textId="77777777" w:rsidR="00344FE6" w:rsidRPr="00937BA9" w:rsidRDefault="00344FE6" w:rsidP="00BA3710">
      <w:pPr>
        <w:pStyle w:val="Titrearticle"/>
      </w:pPr>
      <w:r w:rsidRPr="00937BA9">
        <w:t>Article 1</w:t>
      </w:r>
    </w:p>
    <w:p w14:paraId="4E80F724" w14:textId="6FCF03FD" w:rsidR="00344FE6" w:rsidRPr="00EF6925" w:rsidRDefault="00256C24" w:rsidP="00BA3710">
      <w:r>
        <w:t>Annex III is amended in accordance with the Annex to this Regulation.</w:t>
      </w:r>
    </w:p>
    <w:p w14:paraId="0C18A3CF" w14:textId="6CB0DD48" w:rsidR="00344FE6" w:rsidRPr="00A827DA" w:rsidRDefault="00344FE6" w:rsidP="00BA3710">
      <w:pPr>
        <w:pStyle w:val="Titrearticle"/>
      </w:pPr>
      <w:r w:rsidRPr="00A827DA">
        <w:t xml:space="preserve">Article </w:t>
      </w:r>
      <w:r w:rsidR="00A827DA" w:rsidRPr="00EF6925">
        <w:t>2</w:t>
      </w:r>
    </w:p>
    <w:p w14:paraId="2850FD2A" w14:textId="190244A0" w:rsidR="00344FE6" w:rsidRPr="00A827DA" w:rsidRDefault="00344FE6" w:rsidP="00BA3710">
      <w:r w:rsidRPr="00A827DA">
        <w:t xml:space="preserve">This Regulation shall enter into force on the </w:t>
      </w:r>
      <w:r w:rsidR="00792A2C">
        <w:t>twentieth</w:t>
      </w:r>
      <w:r w:rsidR="00792A2C" w:rsidRPr="00A827DA">
        <w:t xml:space="preserve"> </w:t>
      </w:r>
      <w:r w:rsidRPr="00A827DA">
        <w:t xml:space="preserve">day following that of its publication in the </w:t>
      </w:r>
      <w:r w:rsidRPr="00A827DA">
        <w:rPr>
          <w:i/>
        </w:rPr>
        <w:t>Official Journal of the European Union</w:t>
      </w:r>
      <w:r w:rsidRPr="00A827DA">
        <w:t>.</w:t>
      </w:r>
    </w:p>
    <w:p w14:paraId="3EB2F76E" w14:textId="0BD0DE73" w:rsidR="00744C0E" w:rsidRPr="00937BA9" w:rsidRDefault="00094790" w:rsidP="00BA3710">
      <w:r>
        <w:t>Point</w:t>
      </w:r>
      <w:r w:rsidR="005068A5">
        <w:t>s</w:t>
      </w:r>
      <w:r>
        <w:t xml:space="preserve"> 1</w:t>
      </w:r>
      <w:r w:rsidR="005068A5">
        <w:t>(b)(ii), 1</w:t>
      </w:r>
      <w:r>
        <w:t>(c)</w:t>
      </w:r>
      <w:r w:rsidR="005068A5">
        <w:t>, 2(b), 3(b), 3(c) and</w:t>
      </w:r>
      <w:r>
        <w:t xml:space="preserve"> </w:t>
      </w:r>
      <w:r w:rsidR="005068A5">
        <w:t xml:space="preserve">4(b)(ii) </w:t>
      </w:r>
      <w:r>
        <w:t xml:space="preserve">of the Annex </w:t>
      </w:r>
      <w:r w:rsidR="00744C0E" w:rsidRPr="00A827DA">
        <w:t xml:space="preserve">shall </w:t>
      </w:r>
      <w:r w:rsidR="00744C0E" w:rsidRPr="00744C0E">
        <w:t>apply from 21 April 2021 on.</w:t>
      </w:r>
    </w:p>
    <w:p w14:paraId="460CFA3E" w14:textId="77777777" w:rsidR="00344FE6" w:rsidRDefault="00344FE6" w:rsidP="00BA3710">
      <w:pPr>
        <w:pStyle w:val="Applicationdirecte"/>
      </w:pPr>
      <w:r w:rsidRPr="00937BA9">
        <w:t>This Regulation shall be binding in its entirety and directly applicable in all Member States.</w:t>
      </w:r>
    </w:p>
    <w:p w14:paraId="5440767A" w14:textId="1624FFCD" w:rsidR="00344FE6" w:rsidRDefault="00C64990" w:rsidP="00C64990">
      <w:pPr>
        <w:pStyle w:val="Fait"/>
      </w:pPr>
      <w:r w:rsidRPr="00C64990">
        <w:t>Done at Brussels,</w:t>
      </w:r>
    </w:p>
    <w:p w14:paraId="480E045B" w14:textId="77777777" w:rsidR="00344FE6" w:rsidRDefault="00344FE6" w:rsidP="00344FE6">
      <w:pPr>
        <w:pStyle w:val="Institutionquisigne"/>
      </w:pPr>
      <w:r w:rsidRPr="00344FE6">
        <w:tab/>
        <w:t>For the Commission</w:t>
      </w:r>
    </w:p>
    <w:p w14:paraId="3D4E675A" w14:textId="77777777" w:rsidR="000159A8" w:rsidRDefault="00344FE6" w:rsidP="00344FE6">
      <w:pPr>
        <w:pStyle w:val="Personnequisigne"/>
      </w:pPr>
      <w:r w:rsidRPr="00344FE6">
        <w:tab/>
        <w:t>The President</w:t>
      </w:r>
    </w:p>
    <w:p w14:paraId="5CC9EF53" w14:textId="788CC52F" w:rsidR="000F65CC" w:rsidRPr="00EF6925" w:rsidRDefault="00344FE6" w:rsidP="00344FE6">
      <w:pPr>
        <w:pStyle w:val="Personnequisigne"/>
      </w:pPr>
      <w:r w:rsidRPr="00344FE6">
        <w:tab/>
      </w:r>
      <w:r w:rsidR="00EF6925">
        <w:t>Ursula VON DER LEYEN</w:t>
      </w:r>
    </w:p>
    <w:sectPr w:rsidR="000F65CC" w:rsidRPr="00EF6925" w:rsidSect="00C6499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FAE05" w14:textId="77777777" w:rsidR="00B76127" w:rsidRDefault="00B76127" w:rsidP="00344FE6">
      <w:pPr>
        <w:spacing w:before="0" w:after="0"/>
      </w:pPr>
      <w:r>
        <w:separator/>
      </w:r>
    </w:p>
  </w:endnote>
  <w:endnote w:type="continuationSeparator" w:id="0">
    <w:p w14:paraId="3CE650CC" w14:textId="77777777" w:rsidR="00B76127" w:rsidRDefault="00B76127" w:rsidP="00344F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13711" w14:textId="77777777" w:rsidR="00C64990" w:rsidRPr="00C64990" w:rsidRDefault="00C64990" w:rsidP="00C64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DE984" w14:textId="0A9EC8E0" w:rsidR="00792A2C" w:rsidRPr="00C64990" w:rsidRDefault="00C64990" w:rsidP="00C64990">
    <w:pPr>
      <w:pStyle w:val="Footer"/>
      <w:rPr>
        <w:rFonts w:ascii="Arial" w:hAnsi="Arial" w:cs="Arial"/>
        <w:b/>
        <w:sz w:val="48"/>
      </w:rPr>
    </w:pPr>
    <w:r w:rsidRPr="00C64990">
      <w:rPr>
        <w:rFonts w:ascii="Arial" w:hAnsi="Arial" w:cs="Arial"/>
        <w:b/>
        <w:sz w:val="48"/>
      </w:rPr>
      <w:t>EN</w:t>
    </w:r>
    <w:r w:rsidRPr="00C64990">
      <w:rPr>
        <w:rFonts w:ascii="Arial" w:hAnsi="Arial" w:cs="Arial"/>
        <w:b/>
        <w:sz w:val="48"/>
      </w:rPr>
      <w:tab/>
    </w:r>
    <w:r w:rsidRPr="00C64990">
      <w:rPr>
        <w:rFonts w:ascii="Arial" w:hAnsi="Arial" w:cs="Arial"/>
        <w:b/>
        <w:sz w:val="48"/>
      </w:rPr>
      <w:tab/>
    </w:r>
    <w:r w:rsidRPr="00C64990">
      <w:tab/>
    </w:r>
    <w:r w:rsidRPr="00C6499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8393F" w14:textId="77777777" w:rsidR="00C64990" w:rsidRPr="00C64990" w:rsidRDefault="00C64990" w:rsidP="00C649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D6D32" w14:textId="7D0A46A4" w:rsidR="00792A2C" w:rsidRPr="00C64990" w:rsidRDefault="00C64990" w:rsidP="00C64990">
    <w:pPr>
      <w:pStyle w:val="Footer"/>
      <w:rPr>
        <w:rFonts w:ascii="Arial" w:hAnsi="Arial" w:cs="Arial"/>
        <w:b/>
        <w:sz w:val="48"/>
      </w:rPr>
    </w:pPr>
    <w:r w:rsidRPr="00C64990">
      <w:rPr>
        <w:rFonts w:ascii="Arial" w:hAnsi="Arial" w:cs="Arial"/>
        <w:b/>
        <w:sz w:val="48"/>
      </w:rPr>
      <w:t>EN</w:t>
    </w:r>
    <w:r w:rsidRPr="00C64990">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C64990">
      <w:tab/>
    </w:r>
    <w:r w:rsidRPr="00C64990">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FE246" w14:textId="77777777" w:rsidR="00C64990" w:rsidRPr="00C64990" w:rsidRDefault="00C64990" w:rsidP="00C64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D6F24" w14:textId="77777777" w:rsidR="00B76127" w:rsidRDefault="00B76127" w:rsidP="00344FE6">
      <w:pPr>
        <w:spacing w:before="0" w:after="0"/>
      </w:pPr>
      <w:r>
        <w:separator/>
      </w:r>
    </w:p>
  </w:footnote>
  <w:footnote w:type="continuationSeparator" w:id="0">
    <w:p w14:paraId="7B824B4E" w14:textId="77777777" w:rsidR="00B76127" w:rsidRDefault="00B76127" w:rsidP="00344FE6">
      <w:pPr>
        <w:spacing w:before="0" w:after="0"/>
      </w:pPr>
      <w:r>
        <w:continuationSeparator/>
      </w:r>
    </w:p>
  </w:footnote>
  <w:footnote w:id="1">
    <w:p w14:paraId="717835F0" w14:textId="54C1459B" w:rsidR="00B76127" w:rsidRPr="009D3E21" w:rsidRDefault="00B76127" w:rsidP="009D3E21">
      <w:pPr>
        <w:pStyle w:val="FootnoteText"/>
      </w:pPr>
      <w:r>
        <w:rPr>
          <w:rStyle w:val="FootnoteReference"/>
        </w:rPr>
        <w:footnoteRef/>
      </w:r>
      <w:r>
        <w:tab/>
        <w:t>Regulation (EC) No 853/2004 of the European Parliament and of the Council of 29 April 2004 laying down specific hygiene rules for food of animal origin (OJ L 139, 30.4.2004, p. 55)</w:t>
      </w:r>
      <w:r w:rsidR="001C332D">
        <w:t>.</w:t>
      </w:r>
    </w:p>
  </w:footnote>
  <w:footnote w:id="2">
    <w:p w14:paraId="1C93E39A" w14:textId="554B6F23" w:rsidR="00B76127" w:rsidRPr="006E7E5E" w:rsidRDefault="00B76127" w:rsidP="00BA3710">
      <w:pPr>
        <w:pStyle w:val="FootnoteText"/>
        <w:rPr>
          <w:lang w:val="en-IE"/>
        </w:rPr>
      </w:pPr>
      <w:r>
        <w:rPr>
          <w:rStyle w:val="FootnoteReference"/>
        </w:rPr>
        <w:footnoteRef/>
      </w:r>
      <w:r w:rsidRPr="006E7E5E">
        <w:rPr>
          <w:lang w:val="en-IE"/>
        </w:rPr>
        <w:tab/>
        <w:t xml:space="preserve">OJ L </w:t>
      </w:r>
      <w:r w:rsidRPr="00EF6925">
        <w:t>139, 30.4.2004, p. 55</w:t>
      </w:r>
      <w:r w:rsidR="001C332D">
        <w:rPr>
          <w:lang w:val="en-IE"/>
        </w:rPr>
        <w:t>.</w:t>
      </w:r>
    </w:p>
  </w:footnote>
  <w:footnote w:id="3">
    <w:p w14:paraId="2D2BE203" w14:textId="3726B477" w:rsidR="00B76127" w:rsidRPr="00670CD9" w:rsidRDefault="00B76127">
      <w:pPr>
        <w:pStyle w:val="FootnoteText"/>
        <w:rPr>
          <w:lang w:val="en-IE"/>
        </w:rPr>
      </w:pPr>
      <w:r>
        <w:rPr>
          <w:rStyle w:val="FootnoteReference"/>
        </w:rPr>
        <w:footnoteRef/>
      </w:r>
      <w:r w:rsidRPr="00670CD9">
        <w:rPr>
          <w:lang w:val="en-IE"/>
        </w:rPr>
        <w:tab/>
        <w:t>Commission Delegated Regulation (EU) 2019/624 of 8 February 2019 concerning specific rules for the performance of official controls on the production of meat and for production and relaying areas of live bivalve molluscs in accordance with Regulation (EU) 2017/625 of the European Parliament and of the Council (OJ L 131, 17.5.2019, p. 1)</w:t>
      </w:r>
    </w:p>
  </w:footnote>
  <w:footnote w:id="4">
    <w:p w14:paraId="2A5284FC" w14:textId="4E0D08A8" w:rsidR="00E4615B" w:rsidRPr="004F09A2" w:rsidRDefault="00E4615B">
      <w:pPr>
        <w:pStyle w:val="FootnoteText"/>
        <w:rPr>
          <w:lang w:val="en-IE"/>
        </w:rPr>
      </w:pPr>
      <w:r w:rsidRPr="00AA3071">
        <w:rPr>
          <w:rStyle w:val="FootnoteReference"/>
        </w:rPr>
        <w:footnoteRef/>
      </w:r>
      <w:r w:rsidR="00AA3071">
        <w:tab/>
      </w:r>
      <w:r w:rsidRPr="004F09A2">
        <w:rPr>
          <w:lang w:val="en-IE"/>
        </w:rPr>
        <w:t>https://ec.europa.eu/food/sites/food/files/safety/docs/f2f_action-plan_2020_strategy-info_en.pdf</w:t>
      </w:r>
      <w:r>
        <w:rPr>
          <w:lang w:val="en-IE"/>
        </w:rPr>
        <w:t xml:space="preserve"> </w:t>
      </w:r>
    </w:p>
  </w:footnote>
  <w:footnote w:id="5">
    <w:p w14:paraId="679070EC" w14:textId="6511F5D6" w:rsidR="00E8487C" w:rsidRPr="004F09A2" w:rsidRDefault="00E8487C">
      <w:pPr>
        <w:pStyle w:val="FootnoteText"/>
        <w:rPr>
          <w:lang w:val="en-IE"/>
        </w:rPr>
      </w:pPr>
      <w:r w:rsidRPr="00AA3071">
        <w:rPr>
          <w:rStyle w:val="FootnoteReference"/>
        </w:rPr>
        <w:footnoteRef/>
      </w:r>
      <w:r w:rsidR="00AA3071">
        <w:tab/>
      </w:r>
      <w:r>
        <w:t xml:space="preserve">Commission Implementing Regulation (EU) 2020/XXX of ../../…. </w:t>
      </w:r>
      <w:r w:rsidRPr="00E8487C">
        <w:t>concerning model official certificates for certain categories of animals and goods and repealing Directive 98/68/EC, Decisions 2000/572/EC, 2003/779/EC and 2007/240/EC, Regulation (EC) No 599/2004, Implementing Regulations (EU) No 636/2014 and (EU) 2019/628</w:t>
      </w:r>
      <w:r>
        <w:t xml:space="preserve"> (OJ L …, ../../…., p. ..)</w:t>
      </w:r>
      <w:r w:rsidR="00D564F8">
        <w:t>[C(2020)8100]</w:t>
      </w:r>
    </w:p>
  </w:footnote>
  <w:footnote w:id="6">
    <w:p w14:paraId="542C55A8" w14:textId="55FC74FA" w:rsidR="00B76127" w:rsidRPr="004F09A2" w:rsidRDefault="00B76127" w:rsidP="006A3AE5">
      <w:pPr>
        <w:pStyle w:val="FootnoteText"/>
      </w:pPr>
      <w:r>
        <w:rPr>
          <w:rStyle w:val="FootnoteReference"/>
        </w:rPr>
        <w:footnoteRef/>
      </w:r>
      <w:r w:rsidRPr="004F09A2">
        <w:tab/>
        <w:t>EFSA Journal 2018; 16(11):5432</w:t>
      </w:r>
    </w:p>
  </w:footnote>
  <w:footnote w:id="7">
    <w:p w14:paraId="0D2814DE" w14:textId="113934CC" w:rsidR="009351E5" w:rsidRPr="004F09A2" w:rsidRDefault="009351E5">
      <w:pPr>
        <w:pStyle w:val="FootnoteText"/>
        <w:rPr>
          <w:lang w:val="en-IE"/>
        </w:rPr>
      </w:pPr>
      <w:r w:rsidRPr="00AA3071">
        <w:rPr>
          <w:rStyle w:val="FootnoteReference"/>
        </w:rPr>
        <w:footnoteRef/>
      </w:r>
      <w:r w:rsidR="00AA3071">
        <w:tab/>
      </w:r>
      <w:r w:rsidRPr="002D7176">
        <w:rPr>
          <w:lang w:val="en-IE"/>
        </w:rPr>
        <w:t>Regulation (EC) No 854/2004 of the European Parliament and of the Council of 29 April 2004 laying down specific rules for the organisation of official controls on products of animal origin intended for human consumption</w:t>
      </w:r>
      <w:r>
        <w:rPr>
          <w:lang w:val="en-IE"/>
        </w:rPr>
        <w:t xml:space="preserve"> (</w:t>
      </w:r>
      <w:r w:rsidRPr="009351E5">
        <w:rPr>
          <w:lang w:val="en-IE"/>
        </w:rPr>
        <w:t>OJ L 139, 30.4.2004, p. 206</w:t>
      </w:r>
      <w:r>
        <w:rPr>
          <w:lang w:val="en-IE"/>
        </w:rPr>
        <w:t>)</w:t>
      </w:r>
    </w:p>
  </w:footnote>
  <w:footnote w:id="8">
    <w:p w14:paraId="63DF5599" w14:textId="76E808D0" w:rsidR="00B85D32" w:rsidRPr="00B704DE" w:rsidRDefault="00B85D32" w:rsidP="00B85D32">
      <w:pPr>
        <w:pStyle w:val="FootnoteText"/>
        <w:rPr>
          <w:lang w:val="en-IE"/>
        </w:rPr>
      </w:pPr>
      <w:r w:rsidRPr="00AA3071">
        <w:rPr>
          <w:rStyle w:val="FootnoteReference"/>
        </w:rPr>
        <w:footnoteRef/>
      </w:r>
      <w:r w:rsidR="00AA3071">
        <w:tab/>
      </w:r>
      <w:r w:rsidRPr="00580B83">
        <w:rPr>
          <w:lang w:val="en-IE"/>
        </w:rPr>
        <w:t>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w:t>
      </w:r>
      <w:r>
        <w:rPr>
          <w:lang w:val="en-IE"/>
        </w:rPr>
        <w:t xml:space="preserve"> (</w:t>
      </w:r>
      <w:r w:rsidRPr="00580B83">
        <w:rPr>
          <w:lang w:val="en-IE"/>
        </w:rPr>
        <w:t>OJ L 95, 7.4.2017, p. 1</w:t>
      </w:r>
      <w:r>
        <w:rPr>
          <w:lang w:val="en-IE"/>
        </w:rPr>
        <w:t>).</w:t>
      </w:r>
    </w:p>
  </w:footnote>
  <w:footnote w:id="9">
    <w:p w14:paraId="3C854D30" w14:textId="6F39BF8A" w:rsidR="00B76127" w:rsidRPr="004F09A2" w:rsidRDefault="00B76127" w:rsidP="00B06431">
      <w:pPr>
        <w:pStyle w:val="FootnoteText"/>
        <w:rPr>
          <w:lang w:val="en-IE"/>
        </w:rPr>
      </w:pPr>
      <w:r>
        <w:rPr>
          <w:rStyle w:val="FootnoteReference"/>
        </w:rPr>
        <w:footnoteRef/>
      </w:r>
      <w:r w:rsidRPr="004F09A2">
        <w:rPr>
          <w:lang w:val="en-IE"/>
        </w:rPr>
        <w:tab/>
        <w:t>https://doi.org/10.2903/j.efsa.2009.1109</w:t>
      </w:r>
    </w:p>
  </w:footnote>
  <w:footnote w:id="10">
    <w:p w14:paraId="721DCC88" w14:textId="3F25AD84" w:rsidR="00B76127" w:rsidRPr="00AA3071" w:rsidRDefault="00B76127">
      <w:pPr>
        <w:pStyle w:val="FootnoteText"/>
        <w:rPr>
          <w:lang w:val="en-IE"/>
        </w:rPr>
      </w:pPr>
      <w:r>
        <w:rPr>
          <w:rStyle w:val="FootnoteReference"/>
        </w:rPr>
        <w:footnoteRef/>
      </w:r>
      <w:r w:rsidR="001C332D" w:rsidRPr="00AA3071">
        <w:rPr>
          <w:lang w:val="en-IE"/>
        </w:rPr>
        <w:tab/>
      </w:r>
      <w:r w:rsidR="00AA3071" w:rsidRPr="00AA3071">
        <w:rPr>
          <w:lang w:val="en-IE"/>
        </w:rPr>
        <w:t>Regulation (EC) No 852/2004 of the European Parliament and of the Council of 29 April 2004 on the hygiene of foodstuffs (OJ L 139, 30.4.2004,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A6E5C" w14:textId="77777777" w:rsidR="00C64990" w:rsidRPr="00C64990" w:rsidRDefault="00C64990" w:rsidP="00C64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875708"/>
      <w:lock w:val="sdtContentLocked"/>
      <w:placeholder>
        <w:docPart w:val="DefaultPlaceholder_-1854013440"/>
      </w:placeholder>
      <w:group/>
    </w:sdtPr>
    <w:sdtContent>
      <w:p w14:paraId="18E4AAF4" w14:textId="2B56A217" w:rsidR="00C64990" w:rsidRPr="00C64990" w:rsidRDefault="00C64990" w:rsidP="00C64990">
        <w:pPr>
          <w:pStyle w:val="Header"/>
        </w:pPr>
        <w:r>
          <w:rPr>
            <w:noProof/>
            <w:lang w:val="fr-BE" w:eastAsia="ko-KR"/>
          </w:rPr>
          <w:pict w14:anchorId="645BEB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Draft_LW" o:spid="_x0000_s161794" type="#_x0000_t136" style="position:absolute;left:0;text-align:left;margin-left:0;margin-top:0;width:402.5pt;height:175.75pt;rotation:315;z-index:251658240;mso-position-horizontal:center;mso-position-horizontal-relative:margin;mso-position-vertical:center;mso-position-vertical-relative:margin" fillcolor="silver" stroked="f">
              <v:fill opacity=".5"/>
              <v:stroke r:id="rId1" o:title=""/>
              <v:shadow color="#868686"/>
              <v:textpath style="font-family:&quot;Arial&quot;;font-size:1pt;v-text-kern:t" trim="t" fitpath="t" string="DRAFT"/>
              <o:lock v:ext="edit" aspectratio="t"/>
              <w10:wrap side="largest"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3F606" w14:textId="77777777" w:rsidR="00C64990" w:rsidRPr="00C64990" w:rsidRDefault="00C64990" w:rsidP="00C64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AE8AB7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3D211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AFC6B9D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222EFD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C10615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B609B9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FB2C8024"/>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num>
  <w:num w:numId="2">
    <w:abstractNumId w:val="6"/>
  </w:num>
  <w:num w:numId="3">
    <w:abstractNumId w:val="5"/>
  </w:num>
  <w:num w:numId="4">
    <w:abstractNumId w:val="4"/>
  </w:num>
  <w:num w:numId="5">
    <w:abstractNumId w:val="3"/>
  </w:num>
  <w:num w:numId="6">
    <w:abstractNumId w:val="20"/>
    <w:lvlOverride w:ilvl="0">
      <w:startOverride w:val="1"/>
    </w:lvlOverride>
  </w:num>
  <w:num w:numId="7">
    <w:abstractNumId w:val="2"/>
  </w:num>
  <w:num w:numId="8">
    <w:abstractNumId w:val="1"/>
  </w:num>
  <w:num w:numId="9">
    <w:abstractNumId w:val="0"/>
  </w:num>
  <w:num w:numId="10">
    <w:abstractNumId w:val="11"/>
    <w:lvlOverride w:ilvl="0">
      <w:startOverride w:val="1"/>
    </w:lvlOverride>
  </w:num>
  <w:num w:numId="11">
    <w:abstractNumId w:val="17"/>
  </w:num>
  <w:num w:numId="12">
    <w:abstractNumId w:val="11"/>
  </w:num>
  <w:num w:numId="13">
    <w:abstractNumId w:val="19"/>
  </w:num>
  <w:num w:numId="14">
    <w:abstractNumId w:val="10"/>
  </w:num>
  <w:num w:numId="15">
    <w:abstractNumId w:val="12"/>
  </w:num>
  <w:num w:numId="16">
    <w:abstractNumId w:val="8"/>
  </w:num>
  <w:num w:numId="17">
    <w:abstractNumId w:val="18"/>
  </w:num>
  <w:num w:numId="18">
    <w:abstractNumId w:val="7"/>
  </w:num>
  <w:num w:numId="19">
    <w:abstractNumId w:val="13"/>
  </w:num>
  <w:num w:numId="20">
    <w:abstractNumId w:val="15"/>
  </w:num>
  <w:num w:numId="21">
    <w:abstractNumId w:val="16"/>
  </w:num>
  <w:num w:numId="22">
    <w:abstractNumId w:val="9"/>
  </w:num>
  <w:num w:numId="23">
    <w:abstractNumId w:val="14"/>
  </w:num>
  <w:num w:numId="24">
    <w:abstractNumId w:val="20"/>
  </w:num>
  <w:num w:numId="25">
    <w:abstractNumId w:val="17"/>
  </w:num>
  <w:num w:numId="26">
    <w:abstractNumId w:val="11"/>
  </w:num>
  <w:num w:numId="27">
    <w:abstractNumId w:val="19"/>
  </w:num>
  <w:num w:numId="28">
    <w:abstractNumId w:val="10"/>
  </w:num>
  <w:num w:numId="29">
    <w:abstractNumId w:val="12"/>
  </w:num>
  <w:num w:numId="30">
    <w:abstractNumId w:val="8"/>
  </w:num>
  <w:num w:numId="31">
    <w:abstractNumId w:val="18"/>
  </w:num>
  <w:num w:numId="32">
    <w:abstractNumId w:val="7"/>
  </w:num>
  <w:num w:numId="33">
    <w:abstractNumId w:val="13"/>
  </w:num>
  <w:num w:numId="34">
    <w:abstractNumId w:val="15"/>
  </w:num>
  <w:num w:numId="35">
    <w:abstractNumId w:val="16"/>
  </w:num>
  <w:num w:numId="36">
    <w:abstractNumId w:val="9"/>
  </w:num>
  <w:num w:numId="37">
    <w:abstractNumId w:val="14"/>
  </w:num>
  <w:num w:numId="38">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ttachedTemplate r:id="rId1"/>
  <w:defaultTabStop w:val="720"/>
  <w:hyphenationZone w:val="425"/>
  <w:characterSpacingControl w:val="doNotCompress"/>
  <w:hdrShapeDefaults>
    <o:shapedefaults v:ext="edit" spidmax="161795"/>
    <o:shapelayout v:ext="edit">
      <o:idmap v:ext="edit" data="15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29 14:01:4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COVERPAGE_EXISTS" w:val="True"/>
    <w:docVar w:name="LW_COVERPAGE_GUID" w:val="4680B5C5-7A3A-4BC7-B62F-BF03FB463D67"/>
    <w:docVar w:name="LW_COVERPAGE_TYPE" w:val="2"/>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3"/>
    <w:docVar w:name="LW_ID_DOCSIGNATURE" w:val="SJ-003"/>
    <w:docVar w:name="LW_ID_DOCSTRUCTURE" w:val="COM/AA"/>
    <w:docVar w:name="LW_ID_DOCTYPE" w:val="SJ-003"/>
    <w:docVar w:name="LW_ID_EXP.MOTIFS.NEW" w:val="EM_AA_"/>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20) XXX"/>
    <w:docVar w:name="LW_REF.INTERNE" w:val="SANTE/10432/2020 feedback (POOL/G4/2020/10432/10432-EN feedback.docx)"/>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mending Annex III to Regulation (EC) No 853/2004 of the European Parliament and of the Council on specific hygiene requirements for food of animal origin"/>
    <w:docVar w:name="LW_TYPE.DOC.CP" w:val="COMMISSION DELEGATED REGULATION (EU) \u8230?/..."/>
  </w:docVars>
  <w:rsids>
    <w:rsidRoot w:val="00344FE6"/>
    <w:rsid w:val="0000529B"/>
    <w:rsid w:val="0001053A"/>
    <w:rsid w:val="00015533"/>
    <w:rsid w:val="000159A8"/>
    <w:rsid w:val="0002786F"/>
    <w:rsid w:val="000506DE"/>
    <w:rsid w:val="00061BAD"/>
    <w:rsid w:val="000659EC"/>
    <w:rsid w:val="0009376C"/>
    <w:rsid w:val="00094790"/>
    <w:rsid w:val="000A7517"/>
    <w:rsid w:val="000B3C46"/>
    <w:rsid w:val="000C05DE"/>
    <w:rsid w:val="000C1FEF"/>
    <w:rsid w:val="000E198E"/>
    <w:rsid w:val="000F4F14"/>
    <w:rsid w:val="000F65CC"/>
    <w:rsid w:val="00114FC9"/>
    <w:rsid w:val="0011698D"/>
    <w:rsid w:val="00116CEB"/>
    <w:rsid w:val="0011778B"/>
    <w:rsid w:val="001411FA"/>
    <w:rsid w:val="001434E9"/>
    <w:rsid w:val="00152F43"/>
    <w:rsid w:val="00157713"/>
    <w:rsid w:val="00173323"/>
    <w:rsid w:val="001903F8"/>
    <w:rsid w:val="00193C8A"/>
    <w:rsid w:val="001C01F9"/>
    <w:rsid w:val="001C2816"/>
    <w:rsid w:val="001C332D"/>
    <w:rsid w:val="0020230E"/>
    <w:rsid w:val="00213850"/>
    <w:rsid w:val="00220CA0"/>
    <w:rsid w:val="00227CE3"/>
    <w:rsid w:val="00227EB9"/>
    <w:rsid w:val="00236371"/>
    <w:rsid w:val="00236E4F"/>
    <w:rsid w:val="00256C24"/>
    <w:rsid w:val="00257E1E"/>
    <w:rsid w:val="002713EA"/>
    <w:rsid w:val="00290418"/>
    <w:rsid w:val="002A7847"/>
    <w:rsid w:val="002B368D"/>
    <w:rsid w:val="002B4870"/>
    <w:rsid w:val="002B7239"/>
    <w:rsid w:val="002D1E15"/>
    <w:rsid w:val="002D7176"/>
    <w:rsid w:val="002E67DC"/>
    <w:rsid w:val="002F4C19"/>
    <w:rsid w:val="00301826"/>
    <w:rsid w:val="00315C8F"/>
    <w:rsid w:val="00321419"/>
    <w:rsid w:val="00321F0B"/>
    <w:rsid w:val="003261B3"/>
    <w:rsid w:val="00334B0A"/>
    <w:rsid w:val="00335D39"/>
    <w:rsid w:val="0034040C"/>
    <w:rsid w:val="00341F64"/>
    <w:rsid w:val="00344FE6"/>
    <w:rsid w:val="003637C7"/>
    <w:rsid w:val="00372271"/>
    <w:rsid w:val="00390B50"/>
    <w:rsid w:val="00395851"/>
    <w:rsid w:val="003A0DF6"/>
    <w:rsid w:val="003A41E8"/>
    <w:rsid w:val="003A5035"/>
    <w:rsid w:val="003B3104"/>
    <w:rsid w:val="003B4112"/>
    <w:rsid w:val="003C1C3C"/>
    <w:rsid w:val="003E3F98"/>
    <w:rsid w:val="003F6DEC"/>
    <w:rsid w:val="00407268"/>
    <w:rsid w:val="0041749C"/>
    <w:rsid w:val="004254E4"/>
    <w:rsid w:val="00432F67"/>
    <w:rsid w:val="0043556F"/>
    <w:rsid w:val="00435EEE"/>
    <w:rsid w:val="00442028"/>
    <w:rsid w:val="004429EA"/>
    <w:rsid w:val="00444495"/>
    <w:rsid w:val="004522CD"/>
    <w:rsid w:val="00457B75"/>
    <w:rsid w:val="00481A73"/>
    <w:rsid w:val="004A7E44"/>
    <w:rsid w:val="004C6A58"/>
    <w:rsid w:val="004F09A2"/>
    <w:rsid w:val="005068A5"/>
    <w:rsid w:val="00510804"/>
    <w:rsid w:val="00510C62"/>
    <w:rsid w:val="00535916"/>
    <w:rsid w:val="00561F9E"/>
    <w:rsid w:val="005B708F"/>
    <w:rsid w:val="005C2D10"/>
    <w:rsid w:val="005C4B8C"/>
    <w:rsid w:val="005F2769"/>
    <w:rsid w:val="00601773"/>
    <w:rsid w:val="00620F60"/>
    <w:rsid w:val="006238D4"/>
    <w:rsid w:val="00632D46"/>
    <w:rsid w:val="00640B30"/>
    <w:rsid w:val="00643A3B"/>
    <w:rsid w:val="00647354"/>
    <w:rsid w:val="00666A9A"/>
    <w:rsid w:val="00670CD9"/>
    <w:rsid w:val="00680BDA"/>
    <w:rsid w:val="006846F9"/>
    <w:rsid w:val="0069276A"/>
    <w:rsid w:val="006A3AE5"/>
    <w:rsid w:val="006B2C78"/>
    <w:rsid w:val="006B52AB"/>
    <w:rsid w:val="006C04B7"/>
    <w:rsid w:val="006C1135"/>
    <w:rsid w:val="006E789E"/>
    <w:rsid w:val="006E7E5E"/>
    <w:rsid w:val="006F55E1"/>
    <w:rsid w:val="0070128F"/>
    <w:rsid w:val="0070437B"/>
    <w:rsid w:val="007122BD"/>
    <w:rsid w:val="00724A16"/>
    <w:rsid w:val="00737C3C"/>
    <w:rsid w:val="00744C0E"/>
    <w:rsid w:val="007607D7"/>
    <w:rsid w:val="0076310F"/>
    <w:rsid w:val="007646A5"/>
    <w:rsid w:val="0076488F"/>
    <w:rsid w:val="00776788"/>
    <w:rsid w:val="00780406"/>
    <w:rsid w:val="0078353B"/>
    <w:rsid w:val="00785617"/>
    <w:rsid w:val="007869C2"/>
    <w:rsid w:val="00786A6F"/>
    <w:rsid w:val="0078739E"/>
    <w:rsid w:val="007909A1"/>
    <w:rsid w:val="00792A2C"/>
    <w:rsid w:val="007A4B38"/>
    <w:rsid w:val="007A626C"/>
    <w:rsid w:val="007B5993"/>
    <w:rsid w:val="007B7922"/>
    <w:rsid w:val="007C06F6"/>
    <w:rsid w:val="0082089B"/>
    <w:rsid w:val="00824057"/>
    <w:rsid w:val="00826441"/>
    <w:rsid w:val="00837929"/>
    <w:rsid w:val="00862874"/>
    <w:rsid w:val="00872878"/>
    <w:rsid w:val="008965F4"/>
    <w:rsid w:val="008B115A"/>
    <w:rsid w:val="008F5DB8"/>
    <w:rsid w:val="00911081"/>
    <w:rsid w:val="00911A20"/>
    <w:rsid w:val="00923034"/>
    <w:rsid w:val="009351E5"/>
    <w:rsid w:val="00935233"/>
    <w:rsid w:val="009364CB"/>
    <w:rsid w:val="00941990"/>
    <w:rsid w:val="009502A8"/>
    <w:rsid w:val="00950B92"/>
    <w:rsid w:val="00962620"/>
    <w:rsid w:val="009711F9"/>
    <w:rsid w:val="009712B5"/>
    <w:rsid w:val="00974508"/>
    <w:rsid w:val="00974C83"/>
    <w:rsid w:val="009834BD"/>
    <w:rsid w:val="00986B33"/>
    <w:rsid w:val="00987AD5"/>
    <w:rsid w:val="0099204A"/>
    <w:rsid w:val="00997337"/>
    <w:rsid w:val="009B7138"/>
    <w:rsid w:val="009C24E3"/>
    <w:rsid w:val="009C335C"/>
    <w:rsid w:val="009C61A6"/>
    <w:rsid w:val="009D3292"/>
    <w:rsid w:val="009D3E21"/>
    <w:rsid w:val="009E5D1D"/>
    <w:rsid w:val="00A0757B"/>
    <w:rsid w:val="00A112E1"/>
    <w:rsid w:val="00A1414E"/>
    <w:rsid w:val="00A2077B"/>
    <w:rsid w:val="00A42E7D"/>
    <w:rsid w:val="00A6211D"/>
    <w:rsid w:val="00A73070"/>
    <w:rsid w:val="00A807AD"/>
    <w:rsid w:val="00A80A71"/>
    <w:rsid w:val="00A827DA"/>
    <w:rsid w:val="00A94781"/>
    <w:rsid w:val="00A955D4"/>
    <w:rsid w:val="00AA0655"/>
    <w:rsid w:val="00AA3071"/>
    <w:rsid w:val="00AA4E2E"/>
    <w:rsid w:val="00AA6318"/>
    <w:rsid w:val="00AB7D3F"/>
    <w:rsid w:val="00AC09F2"/>
    <w:rsid w:val="00AC5F88"/>
    <w:rsid w:val="00AD056F"/>
    <w:rsid w:val="00AD40C8"/>
    <w:rsid w:val="00B02238"/>
    <w:rsid w:val="00B06431"/>
    <w:rsid w:val="00B1519F"/>
    <w:rsid w:val="00B215A1"/>
    <w:rsid w:val="00B45908"/>
    <w:rsid w:val="00B76127"/>
    <w:rsid w:val="00B85D32"/>
    <w:rsid w:val="00B9597C"/>
    <w:rsid w:val="00BA3710"/>
    <w:rsid w:val="00BA6E84"/>
    <w:rsid w:val="00BB65E3"/>
    <w:rsid w:val="00BE246D"/>
    <w:rsid w:val="00BF17AA"/>
    <w:rsid w:val="00C01899"/>
    <w:rsid w:val="00C201C7"/>
    <w:rsid w:val="00C24556"/>
    <w:rsid w:val="00C25570"/>
    <w:rsid w:val="00C260A2"/>
    <w:rsid w:val="00C3003C"/>
    <w:rsid w:val="00C51D6A"/>
    <w:rsid w:val="00C52CFA"/>
    <w:rsid w:val="00C64990"/>
    <w:rsid w:val="00C80390"/>
    <w:rsid w:val="00CA35CF"/>
    <w:rsid w:val="00CB460E"/>
    <w:rsid w:val="00CE481D"/>
    <w:rsid w:val="00CF43DB"/>
    <w:rsid w:val="00D01ADA"/>
    <w:rsid w:val="00D1410A"/>
    <w:rsid w:val="00D47C85"/>
    <w:rsid w:val="00D564F8"/>
    <w:rsid w:val="00D62F9A"/>
    <w:rsid w:val="00D6416F"/>
    <w:rsid w:val="00D64F72"/>
    <w:rsid w:val="00D723D0"/>
    <w:rsid w:val="00D90860"/>
    <w:rsid w:val="00D90C6C"/>
    <w:rsid w:val="00D90D47"/>
    <w:rsid w:val="00DA0465"/>
    <w:rsid w:val="00DD4AD4"/>
    <w:rsid w:val="00DE0F94"/>
    <w:rsid w:val="00DE32BE"/>
    <w:rsid w:val="00E05C78"/>
    <w:rsid w:val="00E075FA"/>
    <w:rsid w:val="00E10002"/>
    <w:rsid w:val="00E326DD"/>
    <w:rsid w:val="00E3556B"/>
    <w:rsid w:val="00E417F5"/>
    <w:rsid w:val="00E4615B"/>
    <w:rsid w:val="00E46EC7"/>
    <w:rsid w:val="00E47B3B"/>
    <w:rsid w:val="00E47C29"/>
    <w:rsid w:val="00E76CD0"/>
    <w:rsid w:val="00E8487C"/>
    <w:rsid w:val="00EA1EBA"/>
    <w:rsid w:val="00EA757D"/>
    <w:rsid w:val="00EB1BAB"/>
    <w:rsid w:val="00EB2164"/>
    <w:rsid w:val="00EC39CC"/>
    <w:rsid w:val="00ED1160"/>
    <w:rsid w:val="00ED1579"/>
    <w:rsid w:val="00ED3D98"/>
    <w:rsid w:val="00EF6925"/>
    <w:rsid w:val="00F026A6"/>
    <w:rsid w:val="00F112EA"/>
    <w:rsid w:val="00F20062"/>
    <w:rsid w:val="00F21F74"/>
    <w:rsid w:val="00F24EA5"/>
    <w:rsid w:val="00F3255D"/>
    <w:rsid w:val="00F37919"/>
    <w:rsid w:val="00F42882"/>
    <w:rsid w:val="00F445DE"/>
    <w:rsid w:val="00F44935"/>
    <w:rsid w:val="00F460C4"/>
    <w:rsid w:val="00F509D4"/>
    <w:rsid w:val="00F7357D"/>
    <w:rsid w:val="00F75C9A"/>
    <w:rsid w:val="00F801EF"/>
    <w:rsid w:val="00F95A50"/>
    <w:rsid w:val="00FA7CA2"/>
    <w:rsid w:val="00FD2154"/>
    <w:rsid w:val="00FD619C"/>
    <w:rsid w:val="00FE3A95"/>
    <w:rsid w:val="00FE4D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1795"/>
    <o:shapelayout v:ext="edit">
      <o:idmap v:ext="edit" data="1"/>
    </o:shapelayout>
  </w:shapeDefaults>
  <w:decimalSymbol w:val=","/>
  <w:listSeparator w:val=";"/>
  <w14:docId w14:val="25B81175"/>
  <w15:docId w15:val="{E0903B85-B348-48FA-9F59-750D90D7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CA35CF"/>
    <w:pPr>
      <w:numPr>
        <w:numId w:val="2"/>
      </w:numPr>
      <w:contextualSpacing/>
    </w:pPr>
  </w:style>
  <w:style w:type="paragraph" w:styleId="ListBullet2">
    <w:name w:val="List Bullet 2"/>
    <w:basedOn w:val="Normal"/>
    <w:uiPriority w:val="99"/>
    <w:semiHidden/>
    <w:unhideWhenUsed/>
    <w:rsid w:val="00CA35CF"/>
    <w:pPr>
      <w:numPr>
        <w:numId w:val="3"/>
      </w:numPr>
      <w:contextualSpacing/>
    </w:pPr>
  </w:style>
  <w:style w:type="paragraph" w:styleId="ListBullet3">
    <w:name w:val="List Bullet 3"/>
    <w:basedOn w:val="Normal"/>
    <w:uiPriority w:val="99"/>
    <w:semiHidden/>
    <w:unhideWhenUsed/>
    <w:rsid w:val="00CA35CF"/>
    <w:pPr>
      <w:numPr>
        <w:numId w:val="4"/>
      </w:numPr>
      <w:contextualSpacing/>
    </w:pPr>
  </w:style>
  <w:style w:type="paragraph" w:styleId="ListBullet4">
    <w:name w:val="List Bullet 4"/>
    <w:basedOn w:val="Normal"/>
    <w:uiPriority w:val="99"/>
    <w:semiHidden/>
    <w:unhideWhenUsed/>
    <w:rsid w:val="00CA35CF"/>
    <w:pPr>
      <w:numPr>
        <w:numId w:val="5"/>
      </w:numPr>
      <w:contextualSpacing/>
    </w:pPr>
  </w:style>
  <w:style w:type="paragraph" w:styleId="ListParagraph">
    <w:name w:val="List Paragraph"/>
    <w:basedOn w:val="Normal"/>
    <w:uiPriority w:val="34"/>
    <w:qFormat/>
    <w:rsid w:val="00AA4E2E"/>
    <w:pPr>
      <w:ind w:left="720"/>
      <w:contextualSpacing/>
    </w:pPr>
  </w:style>
  <w:style w:type="paragraph" w:styleId="CommentText">
    <w:name w:val="annotation text"/>
    <w:basedOn w:val="Normal"/>
    <w:link w:val="CommentTextChar"/>
    <w:uiPriority w:val="99"/>
    <w:unhideWhenUsed/>
    <w:rsid w:val="00AA4E2E"/>
    <w:rPr>
      <w:sz w:val="20"/>
      <w:szCs w:val="20"/>
    </w:rPr>
  </w:style>
  <w:style w:type="character" w:customStyle="1" w:styleId="CommentTextChar">
    <w:name w:val="Comment Text Char"/>
    <w:basedOn w:val="DefaultParagraphFont"/>
    <w:link w:val="CommentText"/>
    <w:uiPriority w:val="99"/>
    <w:rsid w:val="00AA4E2E"/>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sid w:val="00AA4E2E"/>
    <w:rPr>
      <w:sz w:val="16"/>
      <w:szCs w:val="16"/>
    </w:rPr>
  </w:style>
  <w:style w:type="paragraph" w:styleId="BalloonText">
    <w:name w:val="Balloon Text"/>
    <w:basedOn w:val="Normal"/>
    <w:link w:val="BalloonTextChar"/>
    <w:uiPriority w:val="99"/>
    <w:semiHidden/>
    <w:unhideWhenUsed/>
    <w:rsid w:val="00AA4E2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E2E"/>
    <w:rPr>
      <w:rFonts w:ascii="Tahoma" w:hAnsi="Tahoma" w:cs="Tahoma"/>
      <w:sz w:val="16"/>
      <w:szCs w:val="16"/>
      <w:lang w:val="en-GB"/>
    </w:rPr>
  </w:style>
  <w:style w:type="paragraph" w:styleId="ListNumber">
    <w:name w:val="List Number"/>
    <w:basedOn w:val="Normal"/>
    <w:uiPriority w:val="99"/>
    <w:unhideWhenUsed/>
    <w:rsid w:val="001411FA"/>
    <w:pPr>
      <w:contextualSpacing/>
    </w:pPr>
  </w:style>
  <w:style w:type="paragraph" w:styleId="CommentSubject">
    <w:name w:val="annotation subject"/>
    <w:basedOn w:val="CommentText"/>
    <w:next w:val="CommentText"/>
    <w:link w:val="CommentSubjectChar"/>
    <w:uiPriority w:val="99"/>
    <w:semiHidden/>
    <w:unhideWhenUsed/>
    <w:rsid w:val="00F460C4"/>
    <w:rPr>
      <w:b/>
      <w:bCs/>
    </w:rPr>
  </w:style>
  <w:style w:type="character" w:customStyle="1" w:styleId="CommentSubjectChar">
    <w:name w:val="Comment Subject Char"/>
    <w:basedOn w:val="CommentTextChar"/>
    <w:link w:val="CommentSubject"/>
    <w:uiPriority w:val="99"/>
    <w:semiHidden/>
    <w:rsid w:val="00F460C4"/>
    <w:rPr>
      <w:rFonts w:ascii="Times New Roman" w:hAnsi="Times New Roman" w:cs="Times New Roman"/>
      <w:b/>
      <w:bCs/>
      <w:sz w:val="20"/>
      <w:szCs w:val="20"/>
      <w:lang w:val="en-GB"/>
    </w:rPr>
  </w:style>
  <w:style w:type="paragraph" w:styleId="Revision">
    <w:name w:val="Revision"/>
    <w:hidden/>
    <w:uiPriority w:val="99"/>
    <w:semiHidden/>
    <w:rsid w:val="00F460C4"/>
    <w:pPr>
      <w:spacing w:after="0" w:line="240" w:lineRule="auto"/>
    </w:pPr>
    <w:rPr>
      <w:rFonts w:ascii="Times New Roman" w:hAnsi="Times New Roman" w:cs="Times New Roman"/>
      <w:sz w:val="24"/>
      <w:lang w:val="en-GB"/>
    </w:rPr>
  </w:style>
  <w:style w:type="table" w:styleId="TableGrid">
    <w:name w:val="Table Grid"/>
    <w:basedOn w:val="TableNormal"/>
    <w:uiPriority w:val="59"/>
    <w:rsid w:val="00F4493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C3003C"/>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C3003C"/>
    <w:pPr>
      <w:spacing w:after="0"/>
    </w:pPr>
  </w:style>
  <w:style w:type="paragraph" w:styleId="ListNumber2">
    <w:name w:val="List Number 2"/>
    <w:basedOn w:val="Normal"/>
    <w:uiPriority w:val="99"/>
    <w:semiHidden/>
    <w:unhideWhenUsed/>
    <w:rsid w:val="00C3003C"/>
    <w:pPr>
      <w:numPr>
        <w:numId w:val="7"/>
      </w:numPr>
      <w:contextualSpacing/>
    </w:pPr>
  </w:style>
  <w:style w:type="paragraph" w:styleId="ListNumber3">
    <w:name w:val="List Number 3"/>
    <w:basedOn w:val="Normal"/>
    <w:uiPriority w:val="99"/>
    <w:semiHidden/>
    <w:unhideWhenUsed/>
    <w:rsid w:val="00C3003C"/>
    <w:pPr>
      <w:numPr>
        <w:numId w:val="8"/>
      </w:numPr>
      <w:contextualSpacing/>
    </w:pPr>
  </w:style>
  <w:style w:type="paragraph" w:styleId="ListNumber4">
    <w:name w:val="List Number 4"/>
    <w:basedOn w:val="Normal"/>
    <w:uiPriority w:val="99"/>
    <w:semiHidden/>
    <w:unhideWhenUsed/>
    <w:rsid w:val="00C3003C"/>
    <w:pPr>
      <w:numPr>
        <w:numId w:val="9"/>
      </w:numPr>
      <w:contextualSpacing/>
    </w:pPr>
  </w:style>
  <w:style w:type="character" w:styleId="Hyperlink">
    <w:name w:val="Hyperlink"/>
    <w:basedOn w:val="DefaultParagraphFont"/>
    <w:uiPriority w:val="99"/>
    <w:unhideWhenUsed/>
    <w:rsid w:val="00EF6925"/>
    <w:rPr>
      <w:color w:val="0000FF" w:themeColor="hyperlink"/>
      <w:u w:val="single"/>
    </w:rPr>
  </w:style>
  <w:style w:type="paragraph" w:styleId="Header">
    <w:name w:val="header"/>
    <w:basedOn w:val="Normal"/>
    <w:link w:val="HeaderChar"/>
    <w:uiPriority w:val="99"/>
    <w:unhideWhenUsed/>
    <w:rsid w:val="00C64990"/>
    <w:pPr>
      <w:tabs>
        <w:tab w:val="center" w:pos="4535"/>
        <w:tab w:val="right" w:pos="9071"/>
      </w:tabs>
      <w:spacing w:before="0"/>
    </w:pPr>
  </w:style>
  <w:style w:type="character" w:customStyle="1" w:styleId="HeaderChar">
    <w:name w:val="Header Char"/>
    <w:basedOn w:val="DefaultParagraphFont"/>
    <w:link w:val="Header"/>
    <w:uiPriority w:val="99"/>
    <w:rsid w:val="00C64990"/>
    <w:rPr>
      <w:rFonts w:ascii="Times New Roman" w:hAnsi="Times New Roman" w:cs="Times New Roman"/>
      <w:sz w:val="24"/>
      <w:lang w:val="en-GB"/>
    </w:rPr>
  </w:style>
  <w:style w:type="paragraph" w:styleId="Footer">
    <w:name w:val="footer"/>
    <w:basedOn w:val="Normal"/>
    <w:link w:val="FooterChar"/>
    <w:uiPriority w:val="99"/>
    <w:unhideWhenUsed/>
    <w:rsid w:val="00C6499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64990"/>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C64990"/>
    <w:pPr>
      <w:tabs>
        <w:tab w:val="center" w:pos="7285"/>
        <w:tab w:val="right" w:pos="14003"/>
      </w:tabs>
      <w:spacing w:before="0"/>
    </w:pPr>
  </w:style>
  <w:style w:type="paragraph" w:customStyle="1" w:styleId="FooterLandscape">
    <w:name w:val="FooterLandscape"/>
    <w:basedOn w:val="Normal"/>
    <w:rsid w:val="00C6499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C6499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64990"/>
    <w:pPr>
      <w:spacing w:before="0"/>
      <w:jc w:val="right"/>
    </w:pPr>
    <w:rPr>
      <w:sz w:val="28"/>
    </w:rPr>
  </w:style>
  <w:style w:type="paragraph" w:customStyle="1" w:styleId="FooterSensitivity">
    <w:name w:val="Footer Sensitivity"/>
    <w:basedOn w:val="Normal"/>
    <w:rsid w:val="00C6499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5"/>
      </w:numPr>
    </w:pPr>
  </w:style>
  <w:style w:type="paragraph" w:customStyle="1" w:styleId="Tiret1">
    <w:name w:val="Tiret 1"/>
    <w:basedOn w:val="Point1"/>
    <w:rsid w:val="009B7138"/>
    <w:pPr>
      <w:numPr>
        <w:numId w:val="26"/>
      </w:numPr>
    </w:pPr>
  </w:style>
  <w:style w:type="paragraph" w:customStyle="1" w:styleId="Tiret2">
    <w:name w:val="Tiret 2"/>
    <w:basedOn w:val="Point2"/>
    <w:rsid w:val="009B7138"/>
    <w:pPr>
      <w:numPr>
        <w:numId w:val="27"/>
      </w:numPr>
    </w:pPr>
  </w:style>
  <w:style w:type="paragraph" w:customStyle="1" w:styleId="Tiret3">
    <w:name w:val="Tiret 3"/>
    <w:basedOn w:val="Point3"/>
    <w:rsid w:val="009B7138"/>
    <w:pPr>
      <w:numPr>
        <w:numId w:val="28"/>
      </w:numPr>
    </w:pPr>
  </w:style>
  <w:style w:type="paragraph" w:customStyle="1" w:styleId="Tiret4">
    <w:name w:val="Tiret 4"/>
    <w:basedOn w:val="Point4"/>
    <w:rsid w:val="009B7138"/>
    <w:pPr>
      <w:numPr>
        <w:numId w:val="29"/>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30"/>
      </w:numPr>
    </w:pPr>
  </w:style>
  <w:style w:type="paragraph" w:customStyle="1" w:styleId="NumPar2">
    <w:name w:val="NumPar 2"/>
    <w:basedOn w:val="Normal"/>
    <w:next w:val="Text1"/>
    <w:rsid w:val="009B7138"/>
    <w:pPr>
      <w:numPr>
        <w:ilvl w:val="1"/>
        <w:numId w:val="30"/>
      </w:numPr>
    </w:pPr>
  </w:style>
  <w:style w:type="paragraph" w:customStyle="1" w:styleId="NumPar3">
    <w:name w:val="NumPar 3"/>
    <w:basedOn w:val="Normal"/>
    <w:next w:val="Text1"/>
    <w:rsid w:val="009B7138"/>
    <w:pPr>
      <w:numPr>
        <w:ilvl w:val="2"/>
        <w:numId w:val="30"/>
      </w:numPr>
    </w:pPr>
  </w:style>
  <w:style w:type="paragraph" w:customStyle="1" w:styleId="NumPar4">
    <w:name w:val="NumPar 4"/>
    <w:basedOn w:val="Normal"/>
    <w:next w:val="Text1"/>
    <w:rsid w:val="009B7138"/>
    <w:pPr>
      <w:numPr>
        <w:ilvl w:val="3"/>
        <w:numId w:val="30"/>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2"/>
      </w:numPr>
    </w:pPr>
  </w:style>
  <w:style w:type="paragraph" w:customStyle="1" w:styleId="Point1number">
    <w:name w:val="Point 1 (number)"/>
    <w:basedOn w:val="Normal"/>
    <w:rsid w:val="009B7138"/>
    <w:pPr>
      <w:numPr>
        <w:ilvl w:val="2"/>
        <w:numId w:val="32"/>
      </w:numPr>
    </w:pPr>
  </w:style>
  <w:style w:type="paragraph" w:customStyle="1" w:styleId="Point2number">
    <w:name w:val="Point 2 (number)"/>
    <w:basedOn w:val="Normal"/>
    <w:rsid w:val="009B7138"/>
    <w:pPr>
      <w:numPr>
        <w:ilvl w:val="4"/>
        <w:numId w:val="32"/>
      </w:numPr>
    </w:pPr>
  </w:style>
  <w:style w:type="paragraph" w:customStyle="1" w:styleId="Point3number">
    <w:name w:val="Point 3 (number)"/>
    <w:basedOn w:val="Normal"/>
    <w:rsid w:val="009B7138"/>
    <w:pPr>
      <w:numPr>
        <w:ilvl w:val="6"/>
        <w:numId w:val="32"/>
      </w:numPr>
    </w:pPr>
  </w:style>
  <w:style w:type="paragraph" w:customStyle="1" w:styleId="Point0letter">
    <w:name w:val="Point 0 (letter)"/>
    <w:basedOn w:val="Normal"/>
    <w:rsid w:val="009B7138"/>
    <w:pPr>
      <w:numPr>
        <w:ilvl w:val="1"/>
        <w:numId w:val="32"/>
      </w:numPr>
    </w:pPr>
  </w:style>
  <w:style w:type="paragraph" w:customStyle="1" w:styleId="Point1letter">
    <w:name w:val="Point 1 (letter)"/>
    <w:basedOn w:val="Normal"/>
    <w:rsid w:val="009B7138"/>
    <w:pPr>
      <w:numPr>
        <w:ilvl w:val="3"/>
        <w:numId w:val="32"/>
      </w:numPr>
    </w:pPr>
  </w:style>
  <w:style w:type="paragraph" w:customStyle="1" w:styleId="Point2letter">
    <w:name w:val="Point 2 (letter)"/>
    <w:basedOn w:val="Normal"/>
    <w:rsid w:val="009B7138"/>
    <w:pPr>
      <w:numPr>
        <w:ilvl w:val="5"/>
        <w:numId w:val="32"/>
      </w:numPr>
    </w:pPr>
  </w:style>
  <w:style w:type="paragraph" w:customStyle="1" w:styleId="Point3letter">
    <w:name w:val="Point 3 (letter)"/>
    <w:basedOn w:val="Normal"/>
    <w:rsid w:val="009B7138"/>
    <w:pPr>
      <w:numPr>
        <w:ilvl w:val="7"/>
        <w:numId w:val="32"/>
      </w:numPr>
    </w:pPr>
  </w:style>
  <w:style w:type="paragraph" w:customStyle="1" w:styleId="Point4letter">
    <w:name w:val="Point 4 (letter)"/>
    <w:basedOn w:val="Normal"/>
    <w:rsid w:val="009B7138"/>
    <w:pPr>
      <w:numPr>
        <w:ilvl w:val="8"/>
        <w:numId w:val="32"/>
      </w:numPr>
    </w:pPr>
  </w:style>
  <w:style w:type="paragraph" w:customStyle="1" w:styleId="Bullet0">
    <w:name w:val="Bullet 0"/>
    <w:basedOn w:val="Normal"/>
    <w:rsid w:val="009B7138"/>
    <w:pPr>
      <w:numPr>
        <w:numId w:val="33"/>
      </w:numPr>
    </w:pPr>
  </w:style>
  <w:style w:type="paragraph" w:customStyle="1" w:styleId="Bullet1">
    <w:name w:val="Bullet 1"/>
    <w:basedOn w:val="Normal"/>
    <w:rsid w:val="009B7138"/>
    <w:pPr>
      <w:numPr>
        <w:numId w:val="34"/>
      </w:numPr>
    </w:pPr>
  </w:style>
  <w:style w:type="paragraph" w:customStyle="1" w:styleId="Bullet2">
    <w:name w:val="Bullet 2"/>
    <w:basedOn w:val="Normal"/>
    <w:rsid w:val="009B7138"/>
    <w:pPr>
      <w:numPr>
        <w:numId w:val="35"/>
      </w:numPr>
    </w:pPr>
  </w:style>
  <w:style w:type="paragraph" w:customStyle="1" w:styleId="Bullet3">
    <w:name w:val="Bullet 3"/>
    <w:basedOn w:val="Normal"/>
    <w:rsid w:val="009B7138"/>
    <w:pPr>
      <w:numPr>
        <w:numId w:val="36"/>
      </w:numPr>
    </w:pPr>
  </w:style>
  <w:style w:type="paragraph" w:customStyle="1" w:styleId="Bullet4">
    <w:name w:val="Bullet 4"/>
    <w:basedOn w:val="Normal"/>
    <w:rsid w:val="009B7138"/>
    <w:pPr>
      <w:numPr>
        <w:numId w:val="37"/>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8"/>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styleId="PlaceholderText">
    <w:name w:val="Placeholder Text"/>
    <w:basedOn w:val="DefaultParagraphFont"/>
    <w:uiPriority w:val="99"/>
    <w:semiHidden/>
    <w:rsid w:val="00C649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26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E1FE4C7-1B31-424B-BFE3-7D34DBBF6EE3}"/>
      </w:docPartPr>
      <w:docPartBody>
        <w:p w:rsidR="00000000" w:rsidRDefault="00E8406D">
          <w:r w:rsidRPr="00BD259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Malgun Gothic"/>
    <w:panose1 w:val="02030600000101010101"/>
    <w:charset w:val="81"/>
    <w:family w:val="auto"/>
    <w:pitch w:val="fixed"/>
    <w:sig w:usb0="00000000" w:usb1="09060000" w:usb2="00000010" w:usb3="00000000" w:csb0="0008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6D"/>
    <w:rsid w:val="00E8406D"/>
  </w:rsids>
  <m:mathPr>
    <m:mathFont m:val="Cambria Math"/>
    <m:brkBin m:val="before"/>
    <m:brkBinSub m:val="--"/>
    <m:smallFrac m:val="0"/>
    <m:dispDef/>
    <m:lMargin m:val="0"/>
    <m:rMargin m:val="0"/>
    <m:defJc m:val="centerGroup"/>
    <m:wrapIndent m:val="1440"/>
    <m:intLim m:val="subSup"/>
    <m:naryLim m:val="undOvr"/>
  </m:mathPr>
  <w:themeFontLang w:val="fr-BE"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fr-BE"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0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16540-31E8-4533-9C86-36450DCF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9</Pages>
  <Words>2912</Words>
  <Characters>15463</Characters>
  <Application>Microsoft Office Word</Application>
  <DocSecurity>4</DocSecurity>
  <Lines>257</Lines>
  <Paragraphs>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SMET Kris (SANTE)</dc:creator>
  <cp:lastModifiedBy>WINTEROVA Andrea (SANTE)</cp:lastModifiedBy>
  <cp:revision>2</cp:revision>
  <cp:lastPrinted>2020-03-06T14:53:00Z</cp:lastPrinted>
  <dcterms:created xsi:type="dcterms:W3CDTF">2020-09-29T16:16:00Z</dcterms:created>
  <dcterms:modified xsi:type="dcterms:W3CDTF">2020-09-29T16:16:00Z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SJ-003</vt:lpwstr>
  </property>
  <property fmtid="{D5CDD505-2E9C-101B-9397-08002B2CF9AE}" pid="10" name="DQCStatus">
    <vt:lpwstr>Yellow (DQC version 03)</vt:lpwstr>
  </property>
</Properties>
</file>